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2A8419" w14:textId="77777777" w:rsidR="00C57179" w:rsidRPr="00C57179" w:rsidRDefault="00C57179" w:rsidP="00C57179">
      <w:pPr>
        <w:ind w:left="1276" w:right="1132"/>
        <w:jc w:val="left"/>
        <w:rPr>
          <w:b/>
          <w:caps/>
          <w:sz w:val="24"/>
          <w:szCs w:val="28"/>
        </w:rPr>
      </w:pPr>
      <w:r w:rsidRPr="00C57179">
        <w:rPr>
          <w:noProof/>
          <w:sz w:val="24"/>
          <w:szCs w:val="28"/>
        </w:rPr>
        <mc:AlternateContent>
          <mc:Choice Requires="wps">
            <w:drawing>
              <wp:anchor distT="4294967295" distB="4294967295" distL="114300" distR="114300" simplePos="0" relativeHeight="252786688" behindDoc="0" locked="0" layoutInCell="1" allowOverlap="1" wp14:anchorId="41285AF9" wp14:editId="4436E3CA">
                <wp:simplePos x="0" y="0"/>
                <wp:positionH relativeFrom="column">
                  <wp:posOffset>842010</wp:posOffset>
                </wp:positionH>
                <wp:positionV relativeFrom="paragraph">
                  <wp:posOffset>400684</wp:posOffset>
                </wp:positionV>
                <wp:extent cx="3971925" cy="0"/>
                <wp:effectExtent l="0" t="0" r="0" b="0"/>
                <wp:wrapNone/>
                <wp:docPr id="189" name="Connecteur droit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71925" cy="0"/>
                        </a:xfrm>
                        <a:prstGeom prst="line">
                          <a:avLst/>
                        </a:prstGeom>
                        <a:ln w="1270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948D76C" id="Connecteur droit 189" o:spid="_x0000_s1026" style="position:absolute;z-index:252786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6.3pt,31.55pt" to="379.0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" strokecolor="black [3212]" strokeweight="1pt">
                <o:lock v:ext="edit" shapetype="f"/>
              </v:line>
            </w:pict>
          </mc:Fallback>
        </mc:AlternateContent>
      </w:r>
      <w:r w:rsidRPr="00C57179">
        <w:rPr>
          <w:b/>
          <w:caps/>
          <w:sz w:val="24"/>
          <w:szCs w:val="28"/>
        </w:rPr>
        <w:t xml:space="preserve">Communauté d’AGGLOMERATION de </w:t>
      </w:r>
      <w:r w:rsidRPr="00C57179">
        <w:rPr>
          <w:b/>
          <w:caps/>
          <w:sz w:val="24"/>
          <w:szCs w:val="28"/>
        </w:rPr>
        <w:br/>
        <w:t>QUIMPER BRETAGNE OCCIDENTALE</w:t>
      </w:r>
    </w:p>
    <w:p w14:paraId="411AAB31" w14:textId="77777777" w:rsidR="00C57179" w:rsidRPr="00C57179" w:rsidRDefault="00C57179" w:rsidP="00C57179">
      <w:pPr>
        <w:rPr>
          <w:sz w:val="24"/>
          <w:szCs w:val="28"/>
        </w:rPr>
      </w:pPr>
    </w:p>
    <w:p w14:paraId="3726573C" w14:textId="77777777" w:rsidR="00C57179" w:rsidRPr="003371E8" w:rsidRDefault="00C57179" w:rsidP="00C57179">
      <w:r w:rsidRPr="003371E8">
        <w:rPr>
          <w:noProof/>
        </w:rPr>
        <w:drawing>
          <wp:anchor distT="0" distB="0" distL="114300" distR="114300" simplePos="0" relativeHeight="252785664" behindDoc="0" locked="0" layoutInCell="1" allowOverlap="1" wp14:anchorId="08CD945A" wp14:editId="51C0FD9C">
            <wp:simplePos x="0" y="0"/>
            <wp:positionH relativeFrom="column">
              <wp:posOffset>3619500</wp:posOffset>
            </wp:positionH>
            <wp:positionV relativeFrom="paragraph">
              <wp:posOffset>254635</wp:posOffset>
            </wp:positionV>
            <wp:extent cx="2381250" cy="999490"/>
            <wp:effectExtent l="0" t="0" r="0" b="0"/>
            <wp:wrapSquare wrapText="bothSides"/>
            <wp:docPr id="2113582579" name="Image 211358257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999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ED69DE" w14:textId="77777777" w:rsidR="00C57179" w:rsidRPr="003371E8" w:rsidRDefault="00C57179" w:rsidP="00C57179"/>
    <w:p w14:paraId="33035805" w14:textId="77777777" w:rsidR="00C57179" w:rsidRPr="003371E8" w:rsidRDefault="00C57179" w:rsidP="00C57179"/>
    <w:p w14:paraId="225480A6" w14:textId="77777777" w:rsidR="00C57179" w:rsidRPr="004B3FE5" w:rsidRDefault="00C57179" w:rsidP="00C57179">
      <w:pPr>
        <w:rPr>
          <w:szCs w:val="20"/>
          <w:highlight w:val="yellow"/>
        </w:rPr>
      </w:pPr>
    </w:p>
    <w:p w14:paraId="1ED82910" w14:textId="77777777" w:rsidR="00C57179" w:rsidRPr="004B3FE5" w:rsidRDefault="00C57179" w:rsidP="00C57179">
      <w:pPr>
        <w:rPr>
          <w:szCs w:val="20"/>
          <w:highlight w:val="yellow"/>
        </w:rPr>
      </w:pPr>
    </w:p>
    <w:p w14:paraId="65AC0C99" w14:textId="77777777" w:rsidR="00C57179" w:rsidRPr="004B3FE5" w:rsidRDefault="00C57179" w:rsidP="00C57179">
      <w:pPr>
        <w:rPr>
          <w:szCs w:val="20"/>
          <w:highlight w:val="yellow"/>
        </w:rPr>
      </w:pPr>
    </w:p>
    <w:p w14:paraId="146C35DB" w14:textId="77777777" w:rsidR="00C57179" w:rsidRPr="004B3FE5" w:rsidRDefault="00C57179" w:rsidP="00C57179">
      <w:pPr>
        <w:rPr>
          <w:szCs w:val="20"/>
          <w:highlight w:val="yellow"/>
        </w:rPr>
      </w:pPr>
    </w:p>
    <w:p w14:paraId="165AD818" w14:textId="77777777" w:rsidR="00C57179" w:rsidRPr="004B3FE5" w:rsidRDefault="00C57179" w:rsidP="00C57179">
      <w:pPr>
        <w:rPr>
          <w:szCs w:val="20"/>
          <w:highlight w:val="yellow"/>
        </w:rPr>
      </w:pPr>
    </w:p>
    <w:p w14:paraId="3620D9C6" w14:textId="77777777" w:rsidR="00C57179" w:rsidRPr="004B3FE5" w:rsidRDefault="00C57179" w:rsidP="00C57179">
      <w:pPr>
        <w:rPr>
          <w:rFonts w:asciiTheme="majorHAnsi" w:hAnsiTheme="majorHAnsi" w:cstheme="majorHAnsi"/>
          <w:szCs w:val="20"/>
          <w:highlight w:val="yellow"/>
        </w:rPr>
      </w:pPr>
    </w:p>
    <w:p w14:paraId="254F5E98" w14:textId="77777777" w:rsidR="00C57179" w:rsidRPr="004B3FE5" w:rsidRDefault="00C57179" w:rsidP="00C57179">
      <w:pPr>
        <w:rPr>
          <w:rFonts w:asciiTheme="majorHAnsi" w:hAnsiTheme="majorHAnsi" w:cstheme="majorHAnsi"/>
          <w:szCs w:val="20"/>
          <w:highlight w:val="yellow"/>
        </w:rPr>
      </w:pPr>
    </w:p>
    <w:p w14:paraId="70ECA2A4" w14:textId="77777777" w:rsidR="00C57179" w:rsidRPr="004B3FE5" w:rsidRDefault="00C57179" w:rsidP="00C57179">
      <w:pPr>
        <w:pStyle w:val="AUTRES"/>
        <w:jc w:val="right"/>
        <w:rPr>
          <w:rFonts w:asciiTheme="majorHAnsi" w:hAnsiTheme="majorHAnsi" w:cstheme="majorHAnsi"/>
          <w:b w:val="0"/>
          <w:bCs/>
          <w:sz w:val="36"/>
          <w:szCs w:val="44"/>
        </w:rPr>
      </w:pPr>
      <w:r w:rsidRPr="004B3FE5">
        <w:rPr>
          <w:rFonts w:asciiTheme="majorHAnsi" w:hAnsiTheme="majorHAnsi" w:cstheme="majorHAnsi"/>
          <w:b w:val="0"/>
          <w:bCs/>
          <w:sz w:val="36"/>
          <w:szCs w:val="44"/>
        </w:rPr>
        <w:t xml:space="preserve">PLAN CLIMAT AIR </w:t>
      </w:r>
      <w:r w:rsidRPr="004B3FE5">
        <w:rPr>
          <w:rFonts w:asciiTheme="majorHAnsi" w:hAnsiTheme="majorHAnsi" w:cstheme="majorHAnsi"/>
          <w:b w:val="0"/>
          <w:bCs/>
          <w:sz w:val="36"/>
          <w:szCs w:val="44"/>
        </w:rPr>
        <w:br/>
        <w:t>ÉNERGIE TERRITORIAL</w:t>
      </w:r>
    </w:p>
    <w:p w14:paraId="09D74469" w14:textId="49B64B1F" w:rsidR="009D5530" w:rsidRPr="00E1705D" w:rsidRDefault="007E57EC">
      <w:pPr>
        <w:pStyle w:val="SGBDS-Normal"/>
        <w:rPr>
          <w:highlight w:val="yellow"/>
        </w:rPr>
      </w:pPr>
      <w:r w:rsidRPr="00E1705D">
        <w:rPr>
          <w:noProof/>
          <w:highlight w:val="yellow"/>
        </w:rPr>
        <w:drawing>
          <wp:anchor distT="0" distB="0" distL="114300" distR="114300" simplePos="0" relativeHeight="251886592" behindDoc="0" locked="0" layoutInCell="1" allowOverlap="1" wp14:anchorId="1A73CA60" wp14:editId="716CBA0D">
            <wp:simplePos x="0" y="0"/>
            <wp:positionH relativeFrom="column">
              <wp:posOffset>-544830</wp:posOffset>
            </wp:positionH>
            <wp:positionV relativeFrom="paragraph">
              <wp:posOffset>-7115620</wp:posOffset>
            </wp:positionV>
            <wp:extent cx="1296035" cy="447040"/>
            <wp:effectExtent l="0" t="0" r="0" b="0"/>
            <wp:wrapNone/>
            <wp:docPr id="17" name="Image 10" descr="RÃ©sultat de recherche d'images pour &quot;CA Saint Germain Boucles de Se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Ã©sultat de recherche d'images pour &quot;CA Saint Germain Boucles de Seine&quot;"/>
                    <pic:cNvPicPr>
                      <a:picLocks noChangeAspect="1"/>
                    </pic:cNvPicPr>
                  </pic:nvPicPr>
                  <pic:blipFill>
                    <a:blip r:embed="rId9"/>
                    <a:stretch/>
                  </pic:blipFill>
                  <pic:spPr bwMode="auto">
                    <a:xfrm>
                      <a:off x="0" y="0"/>
                      <a:ext cx="1296035" cy="447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9EEF79" w14:textId="77777777" w:rsidR="009D5530" w:rsidRPr="00E1705D" w:rsidRDefault="009D5530">
      <w:pPr>
        <w:pStyle w:val="SGBDS-Normal"/>
      </w:pPr>
    </w:p>
    <w:p w14:paraId="6A55A236" w14:textId="77777777" w:rsidR="009D5530" w:rsidRPr="00E1705D" w:rsidRDefault="009D5530">
      <w:pPr>
        <w:pStyle w:val="SGBDS-Normal"/>
      </w:pPr>
    </w:p>
    <w:p w14:paraId="723CE6BA" w14:textId="77777777" w:rsidR="009D5530" w:rsidRPr="00E1705D" w:rsidRDefault="009D5530">
      <w:pPr>
        <w:pStyle w:val="SGBDS-Normal"/>
      </w:pPr>
    </w:p>
    <w:p w14:paraId="256C6A1A" w14:textId="77777777" w:rsidR="009D5530" w:rsidRPr="00E1705D" w:rsidRDefault="009D5530">
      <w:pPr>
        <w:pStyle w:val="SGBDS-Normal"/>
      </w:pPr>
    </w:p>
    <w:p w14:paraId="4B2F3D17" w14:textId="77777777" w:rsidR="009D5530" w:rsidRPr="00E1705D" w:rsidRDefault="009D5530">
      <w:pPr>
        <w:pStyle w:val="SGBDS-Normal"/>
      </w:pPr>
    </w:p>
    <w:p w14:paraId="6E47666E" w14:textId="77777777" w:rsidR="009D5530" w:rsidRPr="00E1705D" w:rsidRDefault="009D5530">
      <w:pPr>
        <w:pStyle w:val="SGBDS-Normal"/>
      </w:pPr>
    </w:p>
    <w:p w14:paraId="44318A50" w14:textId="77777777" w:rsidR="009D5530" w:rsidRPr="00E1705D" w:rsidRDefault="009D5530">
      <w:pPr>
        <w:pStyle w:val="SGBDS-Normal"/>
      </w:pPr>
    </w:p>
    <w:p w14:paraId="3B93FEBF" w14:textId="348E181E" w:rsidR="009D5530" w:rsidRPr="00E1705D" w:rsidRDefault="009D5530">
      <w:pPr>
        <w:pStyle w:val="SGBDS-Normal"/>
      </w:pPr>
    </w:p>
    <w:p w14:paraId="638785B1" w14:textId="1134319B" w:rsidR="00C57179" w:rsidRPr="0061291F" w:rsidRDefault="00C57179" w:rsidP="00C57179">
      <w:pPr>
        <w:rPr>
          <w:rFonts w:cs="Arial"/>
          <w:b/>
          <w:bCs/>
          <w:highlight w:val="yellow"/>
        </w:rPr>
      </w:pPr>
      <w:r w:rsidRPr="00E1705D">
        <w:rPr>
          <w:rFonts w:cs="Arial"/>
          <w:b/>
          <w:bCs/>
          <w:noProof/>
        </w:rPr>
        <w:drawing>
          <wp:anchor distT="0" distB="0" distL="114300" distR="114300" simplePos="0" relativeHeight="252767232" behindDoc="0" locked="0" layoutInCell="1" allowOverlap="1" wp14:anchorId="3D0D9429" wp14:editId="40993FEF">
            <wp:simplePos x="0" y="0"/>
            <wp:positionH relativeFrom="margin">
              <wp:posOffset>3913084</wp:posOffset>
            </wp:positionH>
            <wp:positionV relativeFrom="paragraph">
              <wp:posOffset>75078</wp:posOffset>
            </wp:positionV>
            <wp:extent cx="1842135" cy="323215"/>
            <wp:effectExtent l="0" t="0" r="5715" b="635"/>
            <wp:wrapSquare wrapText="bothSides"/>
            <wp:docPr id="497" name="Image 497" descr="Une image contenant texte, Police,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Image 497" descr="Une image contenant texte, Police, Graphique, graphism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842135" cy="32321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14:paraId="6120D27B" w14:textId="5811A7B9" w:rsidR="00C57179" w:rsidRPr="004F5876" w:rsidRDefault="00C57179" w:rsidP="00C57179">
      <w:pPr>
        <w:ind w:left="1702" w:hanging="1"/>
        <w:rPr>
          <w:rFonts w:cs="Arial"/>
        </w:rPr>
      </w:pPr>
      <w:r w:rsidRPr="00055A7C">
        <w:rPr>
          <w:rFonts w:cs="Arial"/>
          <w:sz w:val="18"/>
        </w:rPr>
        <w:t>V</w:t>
      </w:r>
      <w:r w:rsidR="00055A7C">
        <w:rPr>
          <w:rFonts w:cs="Arial"/>
          <w:sz w:val="18"/>
        </w:rPr>
        <w:t>1</w:t>
      </w:r>
      <w:r w:rsidRPr="00055A7C">
        <w:rPr>
          <w:rFonts w:cs="Arial"/>
          <w:sz w:val="18"/>
        </w:rPr>
        <w:t xml:space="preserve"> - Date de diffusion </w:t>
      </w:r>
      <w:r w:rsidR="00055A7C" w:rsidRPr="00055A7C">
        <w:rPr>
          <w:rFonts w:cs="Arial"/>
          <w:sz w:val="18"/>
        </w:rPr>
        <w:t>09</w:t>
      </w:r>
      <w:r w:rsidRPr="00055A7C">
        <w:rPr>
          <w:rFonts w:cs="Arial"/>
          <w:sz w:val="18"/>
        </w:rPr>
        <w:t>/</w:t>
      </w:r>
      <w:r w:rsidR="00055A7C" w:rsidRPr="00055A7C">
        <w:rPr>
          <w:rFonts w:cs="Arial"/>
          <w:sz w:val="18"/>
        </w:rPr>
        <w:t>10</w:t>
      </w:r>
      <w:r w:rsidRPr="00055A7C">
        <w:rPr>
          <w:rFonts w:cs="Arial"/>
          <w:sz w:val="18"/>
        </w:rPr>
        <w:t>/2024</w:t>
      </w:r>
    </w:p>
    <w:p w14:paraId="36129551" w14:textId="0224D78D" w:rsidR="00C57179" w:rsidRPr="00C57179" w:rsidRDefault="00C57179" w:rsidP="00C57179">
      <w:pPr>
        <w:ind w:left="1843"/>
        <w:jc w:val="right"/>
        <w:rPr>
          <w:rFonts w:asciiTheme="minorHAnsi" w:hAnsiTheme="minorHAnsi" w:cs="Arial"/>
          <w:b/>
          <w:bCs/>
          <w:color w:val="auto"/>
          <w:kern w:val="2"/>
          <w:sz w:val="44"/>
          <w:szCs w:val="24"/>
          <w:lang w:eastAsia="en-US"/>
          <w14:ligatures w14:val="standardContextual"/>
        </w:rPr>
      </w:pPr>
      <w:r w:rsidRPr="00212D49">
        <w:rPr>
          <w:b/>
          <w:bCs/>
          <w:noProof/>
        </w:rPr>
        <mc:AlternateContent>
          <mc:Choice Requires="wps">
            <w:drawing>
              <wp:anchor distT="4294967295" distB="4294967295" distL="114300" distR="114300" simplePos="0" relativeHeight="252788736" behindDoc="0" locked="0" layoutInCell="1" allowOverlap="1" wp14:anchorId="32883B89" wp14:editId="2F60C84B">
                <wp:simplePos x="0" y="0"/>
                <wp:positionH relativeFrom="margin">
                  <wp:posOffset>1071246</wp:posOffset>
                </wp:positionH>
                <wp:positionV relativeFrom="paragraph">
                  <wp:posOffset>12065</wp:posOffset>
                </wp:positionV>
                <wp:extent cx="4686300" cy="0"/>
                <wp:effectExtent l="0" t="0" r="0" b="0"/>
                <wp:wrapNone/>
                <wp:docPr id="187" name="Connecteur droit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863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166E860" id="Connecteur droit 187" o:spid="_x0000_s1026" style="position:absolute;z-index:2527887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84.35pt,.95pt" to="453.3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" strokecolor="#5a5756 [3040]">
                <o:lock v:ext="edit" shapetype="f"/>
                <w10:wrap anchorx="margin"/>
              </v:line>
            </w:pict>
          </mc:Fallback>
        </mc:AlternateContent>
      </w:r>
      <w:r w:rsidRPr="00212D49">
        <w:rPr>
          <w:rFonts w:cs="Arial"/>
          <w:b/>
          <w:bCs/>
          <w:sz w:val="6"/>
          <w:highlight w:val="yellow"/>
        </w:rPr>
        <w:br/>
      </w:r>
      <w:r w:rsidRPr="00C57179">
        <w:rPr>
          <w:rFonts w:asciiTheme="minorHAnsi" w:hAnsiTheme="minorHAnsi" w:cs="Arial"/>
          <w:b/>
          <w:bCs/>
          <w:color w:val="auto"/>
          <w:kern w:val="2"/>
          <w:sz w:val="44"/>
          <w:szCs w:val="24"/>
          <w:lang w:eastAsia="en-US"/>
          <w14:ligatures w14:val="standardContextual"/>
        </w:rPr>
        <w:t xml:space="preserve">Résumé non technique du PCAET de la </w:t>
      </w:r>
      <w:r w:rsidR="00836C5A">
        <w:rPr>
          <w:rFonts w:asciiTheme="minorHAnsi" w:hAnsiTheme="minorHAnsi" w:cs="Arial"/>
          <w:b/>
          <w:bCs/>
          <w:color w:val="auto"/>
          <w:kern w:val="2"/>
          <w:sz w:val="44"/>
          <w:szCs w:val="24"/>
          <w:lang w:eastAsia="en-US"/>
          <w14:ligatures w14:val="standardContextual"/>
        </w:rPr>
        <w:t>C</w:t>
      </w:r>
      <w:r w:rsidR="00CC22B1">
        <w:rPr>
          <w:rFonts w:asciiTheme="minorHAnsi" w:hAnsiTheme="minorHAnsi" w:cs="Arial"/>
          <w:b/>
          <w:bCs/>
          <w:color w:val="auto"/>
          <w:kern w:val="2"/>
          <w:sz w:val="44"/>
          <w:szCs w:val="24"/>
          <w:lang w:eastAsia="en-US"/>
          <w14:ligatures w14:val="standardContextual"/>
        </w:rPr>
        <w:t>ommunauté d’</w:t>
      </w:r>
      <w:r w:rsidR="00836C5A">
        <w:rPr>
          <w:rFonts w:asciiTheme="minorHAnsi" w:hAnsiTheme="minorHAnsi" w:cs="Arial"/>
          <w:b/>
          <w:bCs/>
          <w:color w:val="auto"/>
          <w:kern w:val="2"/>
          <w:sz w:val="44"/>
          <w:szCs w:val="24"/>
          <w:lang w:eastAsia="en-US"/>
          <w14:ligatures w14:val="standardContextual"/>
        </w:rPr>
        <w:t>A</w:t>
      </w:r>
      <w:r w:rsidR="00CC22B1">
        <w:rPr>
          <w:rFonts w:asciiTheme="minorHAnsi" w:hAnsiTheme="minorHAnsi" w:cs="Arial"/>
          <w:b/>
          <w:bCs/>
          <w:color w:val="auto"/>
          <w:kern w:val="2"/>
          <w:sz w:val="44"/>
          <w:szCs w:val="24"/>
          <w:lang w:eastAsia="en-US"/>
          <w14:ligatures w14:val="standardContextual"/>
        </w:rPr>
        <w:t>gglomération</w:t>
      </w:r>
      <w:r>
        <w:rPr>
          <w:rFonts w:asciiTheme="minorHAnsi" w:hAnsiTheme="minorHAnsi" w:cs="Arial"/>
          <w:b/>
          <w:bCs/>
          <w:color w:val="auto"/>
          <w:kern w:val="2"/>
          <w:sz w:val="44"/>
          <w:szCs w:val="24"/>
          <w:lang w:eastAsia="en-US"/>
          <w14:ligatures w14:val="standardContextual"/>
        </w:rPr>
        <w:t xml:space="preserve"> </w:t>
      </w:r>
      <w:r w:rsidRPr="00C57179">
        <w:rPr>
          <w:rFonts w:asciiTheme="minorHAnsi" w:hAnsiTheme="minorHAnsi" w:cs="Arial"/>
          <w:b/>
          <w:bCs/>
          <w:color w:val="auto"/>
          <w:kern w:val="2"/>
          <w:sz w:val="44"/>
          <w:szCs w:val="24"/>
          <w:lang w:eastAsia="en-US"/>
          <w14:ligatures w14:val="standardContextual"/>
        </w:rPr>
        <w:t>Quimper Bretagne Occidentale</w:t>
      </w:r>
    </w:p>
    <w:p w14:paraId="73199CE2" w14:textId="01F7077E" w:rsidR="00C57179" w:rsidRPr="00C57179" w:rsidRDefault="00C57179" w:rsidP="00C57179">
      <w:pPr>
        <w:ind w:left="1843"/>
        <w:jc w:val="right"/>
        <w:rPr>
          <w:rFonts w:asciiTheme="minorHAnsi" w:hAnsiTheme="minorHAnsi" w:cs="Arial"/>
          <w:b/>
          <w:bCs/>
          <w:color w:val="auto"/>
          <w:kern w:val="2"/>
          <w:sz w:val="44"/>
          <w:szCs w:val="24"/>
          <w:lang w:eastAsia="en-US"/>
          <w14:ligatures w14:val="standardContextual"/>
        </w:rPr>
      </w:pPr>
      <w:r w:rsidRPr="00C57179">
        <w:rPr>
          <w:rFonts w:asciiTheme="minorHAnsi" w:hAnsiTheme="minorHAnsi" w:cs="Arial"/>
          <w:b/>
          <w:bCs/>
          <w:color w:val="auto"/>
          <w:kern w:val="2"/>
          <w:sz w:val="44"/>
          <w:szCs w:val="24"/>
          <w:lang w:eastAsia="en-US"/>
          <w14:ligatures w14:val="standardContextual"/>
        </w:rPr>
        <w:t xml:space="preserve">         </w:t>
      </w:r>
    </w:p>
    <w:p w14:paraId="37A0BD81" w14:textId="0412FF70" w:rsidR="009D5530" w:rsidRPr="00E1705D" w:rsidRDefault="009D5530" w:rsidP="00C57179">
      <w:pPr>
        <w:pStyle w:val="SGBDS-Normal"/>
        <w:tabs>
          <w:tab w:val="left" w:pos="6209"/>
        </w:tabs>
      </w:pPr>
    </w:p>
    <w:p w14:paraId="2C92C8B8" w14:textId="77777777" w:rsidR="009D5530" w:rsidRPr="00E1705D" w:rsidRDefault="009D5530">
      <w:pPr>
        <w:pStyle w:val="SGBDS-Normal"/>
      </w:pPr>
    </w:p>
    <w:tbl>
      <w:tblPr>
        <w:tblStyle w:val="Grilledutableau11"/>
        <w:tblW w:w="5381" w:type="pct"/>
        <w:tblBorders>
          <w:top w:val="single" w:sz="4" w:space="0" w:color="605C5B"/>
          <w:left w:val="single" w:sz="4" w:space="0" w:color="605C5B"/>
          <w:bottom w:val="single" w:sz="4" w:space="0" w:color="605C5B"/>
          <w:right w:val="single" w:sz="4" w:space="0" w:color="605C5B"/>
          <w:insideH w:val="single" w:sz="4" w:space="0" w:color="605C5B"/>
          <w:insideV w:val="single" w:sz="4" w:space="0" w:color="605C5B"/>
        </w:tblBorders>
        <w:tblLayout w:type="fixed"/>
        <w:tblLook w:val="04A0" w:firstRow="1" w:lastRow="0" w:firstColumn="1" w:lastColumn="0" w:noHBand="0" w:noVBand="1"/>
      </w:tblPr>
      <w:tblGrid>
        <w:gridCol w:w="1769"/>
        <w:gridCol w:w="3600"/>
        <w:gridCol w:w="4392"/>
      </w:tblGrid>
      <w:tr w:rsidR="00055A7C" w:rsidRPr="00055A7C" w14:paraId="36BF9D29" w14:textId="77777777" w:rsidTr="00055A7C">
        <w:trPr>
          <w:trHeight w:val="454"/>
        </w:trPr>
        <w:tc>
          <w:tcPr>
            <w:tcW w:w="2750" w:type="pct"/>
            <w:gridSpan w:val="2"/>
            <w:tcBorders>
              <w:top w:val="nil"/>
              <w:left w:val="nil"/>
              <w:right w:val="nil"/>
            </w:tcBorders>
            <w:vAlign w:val="center"/>
          </w:tcPr>
          <w:p w14:paraId="63CE9767" w14:textId="77777777" w:rsidR="00055A7C" w:rsidRPr="00055A7C" w:rsidRDefault="00055A7C" w:rsidP="00055A7C">
            <w:pPr>
              <w:spacing w:after="160"/>
              <w:ind w:right="729"/>
              <w:jc w:val="left"/>
              <w:rPr>
                <w:rFonts w:eastAsia="Times New Roman" w:cs="Arial"/>
                <w:color w:val="auto"/>
                <w:szCs w:val="20"/>
                <w:highlight w:val="yellow"/>
                <w:lang w:eastAsia="en-US"/>
              </w:rPr>
            </w:pPr>
            <w:r w:rsidRPr="00055A7C">
              <w:rPr>
                <w:rFonts w:eastAsia="Calibri" w:cs="Arial"/>
                <w:b/>
                <w:color w:val="auto"/>
                <w:szCs w:val="20"/>
                <w:lang w:eastAsia="en-US"/>
              </w:rPr>
              <w:lastRenderedPageBreak/>
              <w:t>MAITRISE D’OUVRAGE</w:t>
            </w:r>
            <w:r w:rsidRPr="00055A7C">
              <w:rPr>
                <w:rFonts w:eastAsia="Calibri" w:cs="Arial"/>
                <w:b/>
                <w:smallCaps/>
                <w:color w:val="auto"/>
                <w:szCs w:val="20"/>
                <w:lang w:eastAsia="en-US"/>
              </w:rPr>
              <w:t> :</w:t>
            </w:r>
          </w:p>
        </w:tc>
        <w:tc>
          <w:tcPr>
            <w:tcW w:w="2250" w:type="pct"/>
            <w:tcBorders>
              <w:top w:val="nil"/>
              <w:left w:val="nil"/>
              <w:bottom w:val="nil"/>
              <w:right w:val="nil"/>
            </w:tcBorders>
            <w:vAlign w:val="center"/>
          </w:tcPr>
          <w:p w14:paraId="07933E09" w14:textId="77777777" w:rsidR="00055A7C" w:rsidRPr="00055A7C" w:rsidRDefault="00055A7C" w:rsidP="00055A7C">
            <w:pPr>
              <w:spacing w:after="160"/>
              <w:jc w:val="left"/>
              <w:rPr>
                <w:rFonts w:eastAsia="Times New Roman" w:cs="Arial"/>
                <w:color w:val="auto"/>
                <w:szCs w:val="20"/>
                <w:highlight w:val="yellow"/>
                <w:lang w:eastAsia="en-US"/>
              </w:rPr>
            </w:pPr>
          </w:p>
        </w:tc>
      </w:tr>
      <w:tr w:rsidR="00055A7C" w:rsidRPr="00055A7C" w14:paraId="2DF30C63" w14:textId="77777777" w:rsidTr="00055A7C">
        <w:trPr>
          <w:trHeight w:val="1872"/>
        </w:trPr>
        <w:tc>
          <w:tcPr>
            <w:tcW w:w="906" w:type="pct"/>
            <w:tcBorders>
              <w:top w:val="nil"/>
              <w:left w:val="nil"/>
              <w:bottom w:val="nil"/>
              <w:right w:val="nil"/>
            </w:tcBorders>
            <w:vAlign w:val="center"/>
          </w:tcPr>
          <w:p w14:paraId="6FFD0914" w14:textId="77777777" w:rsidR="00055A7C" w:rsidRPr="00055A7C" w:rsidRDefault="00055A7C" w:rsidP="00055A7C">
            <w:pPr>
              <w:spacing w:after="160"/>
              <w:jc w:val="left"/>
              <w:rPr>
                <w:rFonts w:eastAsia="Calibri" w:cs="Arial"/>
                <w:b/>
                <w:smallCaps/>
                <w:color w:val="auto"/>
                <w:szCs w:val="20"/>
                <w:highlight w:val="yellow"/>
                <w:lang w:eastAsia="en-US"/>
              </w:rPr>
            </w:pPr>
            <w:r w:rsidRPr="00055A7C">
              <w:rPr>
                <w:rFonts w:eastAsia="Times New Roman" w:cs="Times New Roman"/>
                <w:noProof/>
                <w:color w:val="auto"/>
              </w:rPr>
              <w:drawing>
                <wp:anchor distT="0" distB="0" distL="114300" distR="114300" simplePos="0" relativeHeight="252814336" behindDoc="1" locked="0" layoutInCell="1" allowOverlap="1" wp14:anchorId="7F7F7000" wp14:editId="3CCFB516">
                  <wp:simplePos x="0" y="0"/>
                  <wp:positionH relativeFrom="column">
                    <wp:posOffset>-158750</wp:posOffset>
                  </wp:positionH>
                  <wp:positionV relativeFrom="paragraph">
                    <wp:posOffset>-85090</wp:posOffset>
                  </wp:positionV>
                  <wp:extent cx="1338580" cy="561975"/>
                  <wp:effectExtent l="0" t="0" r="0" b="9525"/>
                  <wp:wrapNone/>
                  <wp:docPr id="15" name="Image 1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8580"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5246A4" w14:textId="77777777" w:rsidR="00055A7C" w:rsidRPr="00055A7C" w:rsidRDefault="00055A7C" w:rsidP="00055A7C">
            <w:pPr>
              <w:spacing w:after="160"/>
              <w:jc w:val="left"/>
              <w:rPr>
                <w:rFonts w:eastAsia="Calibri" w:cs="Arial"/>
                <w:b/>
                <w:smallCaps/>
                <w:color w:val="auto"/>
                <w:szCs w:val="20"/>
                <w:highlight w:val="yellow"/>
                <w:lang w:eastAsia="en-US"/>
              </w:rPr>
            </w:pPr>
          </w:p>
          <w:p w14:paraId="446CDD84" w14:textId="77777777" w:rsidR="00055A7C" w:rsidRPr="00055A7C" w:rsidRDefault="00055A7C" w:rsidP="00055A7C">
            <w:pPr>
              <w:spacing w:after="160"/>
              <w:jc w:val="left"/>
              <w:rPr>
                <w:rFonts w:eastAsia="Calibri" w:cs="Arial"/>
                <w:b/>
                <w:smallCaps/>
                <w:color w:val="auto"/>
                <w:szCs w:val="20"/>
                <w:highlight w:val="yellow"/>
                <w:lang w:eastAsia="en-US"/>
              </w:rPr>
            </w:pPr>
          </w:p>
        </w:tc>
        <w:tc>
          <w:tcPr>
            <w:tcW w:w="1844" w:type="pct"/>
            <w:tcBorders>
              <w:left w:val="nil"/>
              <w:bottom w:val="nil"/>
              <w:right w:val="nil"/>
            </w:tcBorders>
            <w:vAlign w:val="center"/>
          </w:tcPr>
          <w:p w14:paraId="1F7AE5ED" w14:textId="77777777" w:rsidR="00055A7C" w:rsidRPr="00055A7C" w:rsidRDefault="00055A7C" w:rsidP="00055A7C">
            <w:pPr>
              <w:spacing w:after="160"/>
              <w:jc w:val="left"/>
              <w:rPr>
                <w:rFonts w:eastAsia="Times New Roman" w:cs="Times New Roman"/>
                <w:b/>
                <w:bCs/>
                <w:caps/>
                <w:smallCaps/>
                <w:color w:val="auto"/>
                <w:szCs w:val="20"/>
                <w:highlight w:val="yellow"/>
                <w:lang w:eastAsia="en-US"/>
              </w:rPr>
            </w:pPr>
            <w:r w:rsidRPr="00055A7C">
              <w:rPr>
                <w:rFonts w:eastAsia="Times New Roman" w:cs="Times New Roman"/>
                <w:noProof/>
                <w:color w:val="auto"/>
              </w:rPr>
              <mc:AlternateContent>
                <mc:Choice Requires="wps">
                  <w:drawing>
                    <wp:anchor distT="45720" distB="45720" distL="114300" distR="114300" simplePos="0" relativeHeight="252812288" behindDoc="0" locked="0" layoutInCell="1" allowOverlap="1" wp14:anchorId="1CBAB628" wp14:editId="41EAD76D">
                      <wp:simplePos x="0" y="0"/>
                      <wp:positionH relativeFrom="margin">
                        <wp:posOffset>-4445</wp:posOffset>
                      </wp:positionH>
                      <wp:positionV relativeFrom="paragraph">
                        <wp:posOffset>125730</wp:posOffset>
                      </wp:positionV>
                      <wp:extent cx="2295525" cy="791845"/>
                      <wp:effectExtent l="0" t="0" r="0" b="0"/>
                      <wp:wrapNone/>
                      <wp:docPr id="1507664230" name="Zone de texte 1507664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791845"/>
                              </a:xfrm>
                              <a:prstGeom prst="rect">
                                <a:avLst/>
                              </a:prstGeom>
                              <a:solidFill>
                                <a:srgbClr val="FFFFFF"/>
                              </a:solidFill>
                              <a:ln w="9525">
                                <a:noFill/>
                                <a:miter lim="800000"/>
                                <a:headEnd/>
                                <a:tailEnd/>
                              </a:ln>
                            </wps:spPr>
                            <wps:txbx>
                              <w:txbxContent>
                                <w:p w14:paraId="28698C3A" w14:textId="77777777" w:rsidR="00055A7C" w:rsidRPr="00F35C82" w:rsidRDefault="00055A7C" w:rsidP="00055A7C">
                                  <w:pPr>
                                    <w:spacing w:after="0"/>
                                    <w:jc w:val="left"/>
                                    <w:rPr>
                                      <w:rStyle w:val="lev"/>
                                      <w:caps/>
                                      <w:smallCaps/>
                                      <w:szCs w:val="20"/>
                                    </w:rPr>
                                  </w:pPr>
                                  <w:r w:rsidRPr="00F35C82">
                                    <w:rPr>
                                      <w:rStyle w:val="lev"/>
                                      <w:caps/>
                                      <w:szCs w:val="20"/>
                                    </w:rPr>
                                    <w:t>CA Quimper bretagne occidentale</w:t>
                                  </w:r>
                                </w:p>
                                <w:p w14:paraId="74354F27" w14:textId="77777777" w:rsidR="00055A7C" w:rsidRPr="00C70730" w:rsidRDefault="00055A7C" w:rsidP="00055A7C">
                                  <w:pPr>
                                    <w:pStyle w:val="Adresses"/>
                                  </w:pPr>
                                  <w:r w:rsidRPr="004B3FE5">
                                    <w:t>44, P</w:t>
                                  </w:r>
                                  <w:r>
                                    <w:t xml:space="preserve">lace Saint-Corentin </w:t>
                                  </w:r>
                                  <w:r>
                                    <w:br/>
                                    <w:t xml:space="preserve">29 107 Quimper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CBAB628" id="_x0000_t202" coordsize="21600,21600" o:spt="202" path="m,l,21600r21600,l21600,xe">
                      <v:stroke joinstyle="miter"/>
                      <v:path gradientshapeok="t" o:connecttype="rect"/>
                    </v:shapetype>
                    <v:shape id="Zone de texte 1507664230" o:spid="_x0000_s1026" type="#_x0000_t202" style="position:absolute;margin-left:-.35pt;margin-top:9.9pt;width:180.75pt;height:62.35pt;z-index:252812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" stroked="f">
                      <v:textbox style="mso-fit-shape-to-text:t">
                        <w:txbxContent>
                          <w:p w14:paraId="28698C3A" w14:textId="77777777" w:rsidR="00055A7C" w:rsidRPr="00F35C82" w:rsidRDefault="00055A7C" w:rsidP="00055A7C">
                            <w:pPr>
                              <w:spacing w:after="0"/>
                              <w:jc w:val="left"/>
                              <w:rPr>
                                <w:rStyle w:val="lev"/>
                                <w:caps/>
                                <w:smallCaps/>
                                <w:szCs w:val="20"/>
                              </w:rPr>
                            </w:pPr>
                            <w:r w:rsidRPr="00F35C82">
                              <w:rPr>
                                <w:rStyle w:val="lev"/>
                                <w:caps/>
                                <w:szCs w:val="20"/>
                              </w:rPr>
                              <w:t>CA Quimper bretagne occidentale</w:t>
                            </w:r>
                          </w:p>
                          <w:p w14:paraId="74354F27" w14:textId="77777777" w:rsidR="00055A7C" w:rsidRPr="00C70730" w:rsidRDefault="00055A7C" w:rsidP="00055A7C">
                            <w:pPr>
                              <w:pStyle w:val="Adresses"/>
                            </w:pPr>
                            <w:r w:rsidRPr="004B3FE5">
                              <w:t>44, P</w:t>
                            </w:r>
                            <w:r>
                              <w:t xml:space="preserve">lace Saint-Corentin </w:t>
                            </w:r>
                            <w:r>
                              <w:br/>
                              <w:t xml:space="preserve">29 107 Quimper </w:t>
                            </w:r>
                          </w:p>
                        </w:txbxContent>
                      </v:textbox>
                      <w10:wrap anchorx="margin"/>
                    </v:shape>
                  </w:pict>
                </mc:Fallback>
              </mc:AlternateContent>
            </w:r>
          </w:p>
          <w:p w14:paraId="48D367D3" w14:textId="77777777" w:rsidR="00055A7C" w:rsidRPr="00055A7C" w:rsidRDefault="00055A7C" w:rsidP="00055A7C">
            <w:pPr>
              <w:spacing w:after="160"/>
              <w:jc w:val="left"/>
              <w:rPr>
                <w:rFonts w:eastAsia="Times New Roman" w:cs="Arial"/>
                <w:color w:val="auto"/>
                <w:szCs w:val="20"/>
                <w:highlight w:val="yellow"/>
                <w:lang w:eastAsia="en-US"/>
              </w:rPr>
            </w:pPr>
          </w:p>
        </w:tc>
        <w:tc>
          <w:tcPr>
            <w:tcW w:w="2250" w:type="pct"/>
            <w:tcBorders>
              <w:top w:val="nil"/>
              <w:left w:val="nil"/>
              <w:bottom w:val="nil"/>
              <w:right w:val="nil"/>
            </w:tcBorders>
            <w:vAlign w:val="center"/>
          </w:tcPr>
          <w:p w14:paraId="7142E25D" w14:textId="77777777" w:rsidR="00055A7C" w:rsidRPr="00055A7C" w:rsidRDefault="00055A7C" w:rsidP="00055A7C">
            <w:pPr>
              <w:spacing w:after="160"/>
              <w:jc w:val="center"/>
              <w:rPr>
                <w:rFonts w:eastAsia="Times New Roman" w:cs="Times New Roman"/>
                <w:color w:val="auto"/>
                <w:szCs w:val="20"/>
                <w:highlight w:val="yellow"/>
                <w:lang w:eastAsia="en-US"/>
              </w:rPr>
            </w:pPr>
            <w:r w:rsidRPr="00055A7C">
              <w:rPr>
                <w:rFonts w:eastAsia="Times New Roman" w:cs="Times New Roman"/>
                <w:color w:val="auto"/>
                <w:szCs w:val="20"/>
                <w:lang w:eastAsia="en-US"/>
              </w:rPr>
              <w:t>Alain GARDELLE</w:t>
            </w:r>
            <w:r w:rsidRPr="00055A7C">
              <w:rPr>
                <w:rFonts w:eastAsia="Times New Roman" w:cs="Times New Roman"/>
                <w:color w:val="auto"/>
                <w:szCs w:val="20"/>
                <w:lang w:eastAsia="en-US"/>
              </w:rPr>
              <w:br/>
              <w:t>Direction de la transition écologique</w:t>
            </w:r>
            <w:r w:rsidRPr="00055A7C">
              <w:rPr>
                <w:rFonts w:eastAsia="Times New Roman" w:cs="Times New Roman"/>
                <w:color w:val="auto"/>
                <w:szCs w:val="20"/>
                <w:lang w:eastAsia="en-US"/>
              </w:rPr>
              <w:br/>
            </w:r>
            <w:r w:rsidRPr="00055A7C">
              <w:rPr>
                <w:rFonts w:eastAsia="Times New Roman" w:cs="Times New Roman"/>
                <w:b/>
                <w:color w:val="auto"/>
                <w:szCs w:val="20"/>
                <w:lang w:eastAsia="en-US"/>
              </w:rPr>
              <w:t>T</w:t>
            </w:r>
            <w:r w:rsidRPr="00055A7C">
              <w:rPr>
                <w:rFonts w:eastAsia="Times New Roman" w:cs="Times New Roman"/>
                <w:color w:val="auto"/>
                <w:szCs w:val="20"/>
                <w:lang w:eastAsia="en-US"/>
              </w:rPr>
              <w:t xml:space="preserve"> 02 98 98 41 19</w:t>
            </w:r>
            <w:r w:rsidRPr="00055A7C">
              <w:rPr>
                <w:rFonts w:eastAsia="Times New Roman" w:cs="Times New Roman"/>
                <w:color w:val="auto"/>
                <w:szCs w:val="20"/>
                <w:lang w:eastAsia="en-US"/>
              </w:rPr>
              <w:br/>
            </w:r>
            <w:r w:rsidRPr="00055A7C">
              <w:rPr>
                <w:rFonts w:eastAsia="Times New Roman" w:cs="Times New Roman"/>
                <w:b/>
                <w:color w:val="auto"/>
                <w:szCs w:val="20"/>
                <w:lang w:eastAsia="en-US"/>
              </w:rPr>
              <w:t>@</w:t>
            </w:r>
            <w:r w:rsidRPr="00055A7C">
              <w:rPr>
                <w:rFonts w:eastAsia="Times New Roman" w:cs="Times New Roman"/>
                <w:color w:val="auto"/>
                <w:szCs w:val="20"/>
                <w:lang w:eastAsia="en-US"/>
              </w:rPr>
              <w:t xml:space="preserve"> alain.gardelle@quimper.bzh</w:t>
            </w:r>
          </w:p>
        </w:tc>
      </w:tr>
    </w:tbl>
    <w:p w14:paraId="602EFC84" w14:textId="77777777" w:rsidR="00055A7C" w:rsidRPr="00055A7C" w:rsidRDefault="00055A7C" w:rsidP="00055A7C">
      <w:pPr>
        <w:spacing w:after="160"/>
        <w:jc w:val="left"/>
        <w:rPr>
          <w:rFonts w:eastAsia="Times New Roman" w:cs="Times New Roman"/>
          <w:color w:val="auto"/>
          <w:szCs w:val="20"/>
          <w:highlight w:val="yellow"/>
          <w:lang w:eastAsia="en-US"/>
        </w:rPr>
      </w:pPr>
    </w:p>
    <w:p w14:paraId="059A49E5" w14:textId="77777777" w:rsidR="00055A7C" w:rsidRPr="00055A7C" w:rsidRDefault="00055A7C" w:rsidP="00055A7C">
      <w:pPr>
        <w:spacing w:after="160"/>
        <w:jc w:val="left"/>
        <w:rPr>
          <w:rFonts w:eastAsia="Times New Roman" w:cs="Times New Roman"/>
          <w:color w:val="auto"/>
          <w:szCs w:val="20"/>
          <w:highlight w:val="yellow"/>
          <w:lang w:eastAsia="en-US"/>
        </w:rPr>
      </w:pPr>
    </w:p>
    <w:p w14:paraId="0B1185ED" w14:textId="77777777" w:rsidR="00055A7C" w:rsidRPr="00055A7C" w:rsidRDefault="00055A7C" w:rsidP="00055A7C">
      <w:pPr>
        <w:spacing w:after="160"/>
        <w:jc w:val="left"/>
        <w:rPr>
          <w:rFonts w:eastAsia="Times New Roman" w:cs="Times New Roman"/>
          <w:b/>
          <w:smallCaps/>
          <w:color w:val="auto"/>
          <w:szCs w:val="20"/>
          <w:lang w:eastAsia="en-US"/>
        </w:rPr>
      </w:pPr>
      <w:r w:rsidRPr="00055A7C">
        <w:rPr>
          <w:rFonts w:eastAsia="Times New Roman" w:cs="Times New Roman"/>
          <w:noProof/>
          <w:color w:val="auto"/>
        </w:rPr>
        <mc:AlternateContent>
          <mc:Choice Requires="wps">
            <w:drawing>
              <wp:anchor distT="4294967295" distB="4294967295" distL="114300" distR="114300" simplePos="0" relativeHeight="252810240" behindDoc="0" locked="0" layoutInCell="1" allowOverlap="1" wp14:anchorId="69574198" wp14:editId="537C4B9E">
                <wp:simplePos x="0" y="0"/>
                <wp:positionH relativeFrom="margin">
                  <wp:posOffset>0</wp:posOffset>
                </wp:positionH>
                <wp:positionV relativeFrom="paragraph">
                  <wp:posOffset>243204</wp:posOffset>
                </wp:positionV>
                <wp:extent cx="3248025" cy="0"/>
                <wp:effectExtent l="0" t="0" r="0" b="0"/>
                <wp:wrapNone/>
                <wp:docPr id="2095457583" name="Connecteur droit 20954575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48025" cy="0"/>
                        </a:xfrm>
                        <a:prstGeom prst="line">
                          <a:avLst/>
                        </a:prstGeom>
                        <a:noFill/>
                        <a:ln w="12700" cap="flat" cmpd="sng" algn="ctr">
                          <a:solidFill>
                            <a:srgbClr val="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B466A2B" id="Connecteur droit 2095457583" o:spid="_x0000_s1026" style="position:absolute;z-index:2528102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0,19.15pt" to="255.7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" strokeweight="1pt">
                <o:lock v:ext="edit" shapetype="f"/>
                <w10:wrap anchorx="margin"/>
              </v:line>
            </w:pict>
          </mc:Fallback>
        </mc:AlternateContent>
      </w:r>
      <w:r w:rsidRPr="00055A7C">
        <w:rPr>
          <w:rFonts w:eastAsia="Times New Roman" w:cs="Times New Roman"/>
          <w:b/>
          <w:color w:val="auto"/>
          <w:szCs w:val="20"/>
          <w:lang w:eastAsia="en-US"/>
        </w:rPr>
        <w:t>ASSISTANCE À MAITRISE D’OUVRAGE</w:t>
      </w:r>
      <w:r w:rsidRPr="00055A7C">
        <w:rPr>
          <w:rFonts w:eastAsia="Times New Roman" w:cs="Times New Roman"/>
          <w:b/>
          <w:smallCaps/>
          <w:color w:val="auto"/>
          <w:szCs w:val="20"/>
          <w:lang w:eastAsia="en-US"/>
        </w:rPr>
        <w:t> :</w:t>
      </w:r>
    </w:p>
    <w:p w14:paraId="3A4B7D43" w14:textId="77777777" w:rsidR="00055A7C" w:rsidRPr="00055A7C" w:rsidRDefault="00055A7C" w:rsidP="00055A7C">
      <w:pPr>
        <w:spacing w:after="160"/>
        <w:jc w:val="left"/>
        <w:rPr>
          <w:rFonts w:eastAsia="Times New Roman" w:cs="Times New Roman"/>
          <w:b/>
          <w:smallCaps/>
          <w:color w:val="auto"/>
          <w:szCs w:val="20"/>
          <w:highlight w:val="yellow"/>
          <w:lang w:eastAsia="en-US"/>
        </w:rPr>
      </w:pPr>
      <w:r w:rsidRPr="00055A7C">
        <w:rPr>
          <w:rFonts w:eastAsia="Times New Roman" w:cs="Times New Roman"/>
          <w:noProof/>
          <w:color w:val="auto"/>
        </w:rPr>
        <mc:AlternateContent>
          <mc:Choice Requires="wps">
            <w:drawing>
              <wp:anchor distT="45720" distB="45720" distL="114300" distR="114300" simplePos="0" relativeHeight="252809216" behindDoc="0" locked="0" layoutInCell="1" allowOverlap="1" wp14:anchorId="626DDFB6" wp14:editId="2C2C37DD">
                <wp:simplePos x="0" y="0"/>
                <wp:positionH relativeFrom="margin">
                  <wp:posOffset>3805555</wp:posOffset>
                </wp:positionH>
                <wp:positionV relativeFrom="paragraph">
                  <wp:posOffset>20955</wp:posOffset>
                </wp:positionV>
                <wp:extent cx="2181860" cy="1066800"/>
                <wp:effectExtent l="0" t="0" r="0" b="0"/>
                <wp:wrapSquare wrapText="bothSides"/>
                <wp:docPr id="1721066366" name="Zone de texte 1721066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1066800"/>
                        </a:xfrm>
                        <a:prstGeom prst="rect">
                          <a:avLst/>
                        </a:prstGeom>
                        <a:solidFill>
                          <a:srgbClr val="FFFFFF"/>
                        </a:solidFill>
                        <a:ln w="9525">
                          <a:noFill/>
                          <a:miter lim="800000"/>
                          <a:headEnd/>
                          <a:tailEnd/>
                        </a:ln>
                      </wps:spPr>
                      <wps:txbx>
                        <w:txbxContent>
                          <w:p w14:paraId="48623F8D" w14:textId="77777777" w:rsidR="00055A7C" w:rsidRPr="00F35C82" w:rsidRDefault="00055A7C" w:rsidP="00055A7C">
                            <w:pPr>
                              <w:jc w:val="center"/>
                              <w:rPr>
                                <w:szCs w:val="20"/>
                              </w:rPr>
                            </w:pPr>
                            <w:r w:rsidRPr="00326723">
                              <w:rPr>
                                <w:szCs w:val="20"/>
                              </w:rPr>
                              <w:t>Pierre-Louis GARCIA-LE FLOCH</w:t>
                            </w:r>
                            <w:r w:rsidRPr="00B14EF9">
                              <w:rPr>
                                <w:szCs w:val="20"/>
                              </w:rPr>
                              <w:br/>
                              <w:t>Chef de Projets</w:t>
                            </w:r>
                            <w:r w:rsidRPr="00B14EF9">
                              <w:rPr>
                                <w:szCs w:val="20"/>
                              </w:rPr>
                              <w:br/>
                            </w:r>
                            <w:r w:rsidRPr="00326723">
                              <w:rPr>
                                <w:rFonts w:eastAsia="Calibri"/>
                                <w:b/>
                                <w:szCs w:val="20"/>
                              </w:rPr>
                              <w:t>T</w:t>
                            </w:r>
                            <w:r w:rsidRPr="00326723">
                              <w:rPr>
                                <w:rFonts w:eastAsia="Calibri"/>
                                <w:szCs w:val="20"/>
                              </w:rPr>
                              <w:t xml:space="preserve"> 07 57 09 55 57</w:t>
                            </w:r>
                            <w:r w:rsidRPr="00326723">
                              <w:rPr>
                                <w:szCs w:val="20"/>
                              </w:rPr>
                              <w:br/>
                            </w:r>
                            <w:r w:rsidRPr="00326723">
                              <w:rPr>
                                <w:b/>
                                <w:szCs w:val="20"/>
                              </w:rPr>
                              <w:t>@</w:t>
                            </w:r>
                            <w:r w:rsidRPr="00326723">
                              <w:t xml:space="preserve"> </w:t>
                            </w:r>
                            <w:r w:rsidRPr="00326723">
                              <w:rPr>
                                <w:szCs w:val="20"/>
                              </w:rPr>
                              <w:t>plgarcia@alterea.fr</w:t>
                            </w:r>
                          </w:p>
                          <w:p w14:paraId="7C2CD5BE" w14:textId="77777777" w:rsidR="00055A7C" w:rsidRPr="00C70730" w:rsidRDefault="00055A7C" w:rsidP="00055A7C">
                            <w:pPr>
                              <w:jc w:val="center"/>
                              <w:rPr>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6DDFB6" id="Zone de texte 1721066366" o:spid="_x0000_s1027" type="#_x0000_t202" style="position:absolute;margin-left:299.65pt;margin-top:1.65pt;width:171.8pt;height:84pt;z-index:252809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" stroked="f">
                <v:textbox style="mso-fit-shape-to-text:t">
                  <w:txbxContent>
                    <w:p w14:paraId="48623F8D" w14:textId="77777777" w:rsidR="00055A7C" w:rsidRPr="00F35C82" w:rsidRDefault="00055A7C" w:rsidP="00055A7C">
                      <w:pPr>
                        <w:jc w:val="center"/>
                        <w:rPr>
                          <w:szCs w:val="20"/>
                        </w:rPr>
                      </w:pPr>
                      <w:r w:rsidRPr="00326723">
                        <w:rPr>
                          <w:szCs w:val="20"/>
                        </w:rPr>
                        <w:t>Pierre-Louis GARCIA-LE FLOCH</w:t>
                      </w:r>
                      <w:r w:rsidRPr="00B14EF9">
                        <w:rPr>
                          <w:szCs w:val="20"/>
                        </w:rPr>
                        <w:br/>
                        <w:t>Chef de Projets</w:t>
                      </w:r>
                      <w:r w:rsidRPr="00B14EF9">
                        <w:rPr>
                          <w:szCs w:val="20"/>
                        </w:rPr>
                        <w:br/>
                      </w:r>
                      <w:r w:rsidRPr="00326723">
                        <w:rPr>
                          <w:rFonts w:eastAsia="Calibri"/>
                          <w:b/>
                          <w:szCs w:val="20"/>
                        </w:rPr>
                        <w:t>T</w:t>
                      </w:r>
                      <w:r w:rsidRPr="00326723">
                        <w:rPr>
                          <w:rFonts w:eastAsia="Calibri"/>
                          <w:szCs w:val="20"/>
                        </w:rPr>
                        <w:t xml:space="preserve"> 07 57 09 55 57</w:t>
                      </w:r>
                      <w:r w:rsidRPr="00326723">
                        <w:rPr>
                          <w:szCs w:val="20"/>
                        </w:rPr>
                        <w:br/>
                      </w:r>
                      <w:r w:rsidRPr="00326723">
                        <w:rPr>
                          <w:b/>
                          <w:szCs w:val="20"/>
                        </w:rPr>
                        <w:t>@</w:t>
                      </w:r>
                      <w:r w:rsidRPr="00326723">
                        <w:t xml:space="preserve"> </w:t>
                      </w:r>
                      <w:r w:rsidRPr="00326723">
                        <w:rPr>
                          <w:szCs w:val="20"/>
                        </w:rPr>
                        <w:t>plgarcia@alterea.fr</w:t>
                      </w:r>
                    </w:p>
                    <w:p w14:paraId="7C2CD5BE" w14:textId="77777777" w:rsidR="00055A7C" w:rsidRPr="00C70730" w:rsidRDefault="00055A7C" w:rsidP="00055A7C">
                      <w:pPr>
                        <w:jc w:val="center"/>
                        <w:rPr>
                          <w:sz w:val="18"/>
                          <w:szCs w:val="18"/>
                        </w:rPr>
                      </w:pPr>
                    </w:p>
                  </w:txbxContent>
                </v:textbox>
                <w10:wrap type="square" anchorx="margin"/>
              </v:shape>
            </w:pict>
          </mc:Fallback>
        </mc:AlternateContent>
      </w:r>
      <w:r w:rsidRPr="00055A7C">
        <w:rPr>
          <w:rFonts w:eastAsia="Times New Roman" w:cs="Times New Roman"/>
          <w:noProof/>
          <w:color w:val="auto"/>
        </w:rPr>
        <mc:AlternateContent>
          <mc:Choice Requires="wps">
            <w:drawing>
              <wp:anchor distT="45720" distB="45720" distL="114300" distR="114300" simplePos="0" relativeHeight="252813312" behindDoc="0" locked="0" layoutInCell="1" allowOverlap="1" wp14:anchorId="3767DE98" wp14:editId="26D347BC">
                <wp:simplePos x="0" y="0"/>
                <wp:positionH relativeFrom="margin">
                  <wp:posOffset>1186180</wp:posOffset>
                </wp:positionH>
                <wp:positionV relativeFrom="paragraph">
                  <wp:posOffset>175260</wp:posOffset>
                </wp:positionV>
                <wp:extent cx="2295525" cy="1019810"/>
                <wp:effectExtent l="0" t="0" r="0" b="0"/>
                <wp:wrapNone/>
                <wp:docPr id="1435999178" name="Zone de texte 1435999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019810"/>
                        </a:xfrm>
                        <a:prstGeom prst="rect">
                          <a:avLst/>
                        </a:prstGeom>
                        <a:solidFill>
                          <a:srgbClr val="FFFFFF"/>
                        </a:solidFill>
                        <a:ln w="9525">
                          <a:noFill/>
                          <a:miter lim="800000"/>
                          <a:headEnd/>
                          <a:tailEnd/>
                        </a:ln>
                      </wps:spPr>
                      <wps:txbx>
                        <w:txbxContent>
                          <w:p w14:paraId="2268CDA6" w14:textId="77777777" w:rsidR="00055A7C" w:rsidRPr="00F647FA" w:rsidRDefault="00055A7C" w:rsidP="00055A7C">
                            <w:pPr>
                              <w:jc w:val="left"/>
                              <w:rPr>
                                <w:rStyle w:val="AdressesCar"/>
                              </w:rPr>
                            </w:pPr>
                            <w:r w:rsidRPr="00753C95">
                              <w:rPr>
                                <w:rStyle w:val="lev"/>
                                <w:szCs w:val="20"/>
                              </w:rPr>
                              <w:t>AL</w:t>
                            </w:r>
                            <w:r>
                              <w:rPr>
                                <w:rStyle w:val="lev"/>
                                <w:szCs w:val="20"/>
                              </w:rPr>
                              <w:t xml:space="preserve">TEREA </w:t>
                            </w:r>
                            <w:r w:rsidRPr="00753C95">
                              <w:rPr>
                                <w:rStyle w:val="lev"/>
                                <w:szCs w:val="20"/>
                              </w:rPr>
                              <w:t>AGENCE OUEST</w:t>
                            </w:r>
                            <w:r w:rsidRPr="00753C95">
                              <w:rPr>
                                <w:rFonts w:eastAsia="Calibri"/>
                                <w:b/>
                                <w:smallCaps/>
                                <w:szCs w:val="20"/>
                              </w:rPr>
                              <w:br/>
                            </w:r>
                            <w:r w:rsidRPr="00F647FA">
                              <w:rPr>
                                <w:rStyle w:val="AdressesCar"/>
                              </w:rPr>
                              <w:t>26, boulevard Vincent Gâche</w:t>
                            </w:r>
                            <w:r w:rsidRPr="00F647FA">
                              <w:rPr>
                                <w:rStyle w:val="AdressesCar"/>
                              </w:rPr>
                              <w:br/>
                              <w:t>44 275 Nantes (Cedex 2)</w:t>
                            </w:r>
                            <w:r w:rsidRPr="00F647FA">
                              <w:rPr>
                                <w:rStyle w:val="AdressesCar"/>
                              </w:rPr>
                              <w:br/>
                            </w:r>
                            <w:r w:rsidRPr="00F647FA">
                              <w:rPr>
                                <w:rStyle w:val="AdressesCar"/>
                                <w:b/>
                                <w:bCs/>
                              </w:rPr>
                              <w:t>T</w:t>
                            </w:r>
                            <w:r w:rsidRPr="00F647FA">
                              <w:rPr>
                                <w:rStyle w:val="AdressesCar"/>
                              </w:rPr>
                              <w:t xml:space="preserve"> 02 40 74 24 81</w:t>
                            </w:r>
                          </w:p>
                          <w:p w14:paraId="29A62B47" w14:textId="77777777" w:rsidR="00055A7C" w:rsidRPr="00C70730" w:rsidRDefault="00055A7C" w:rsidP="00055A7C">
                            <w:pPr>
                              <w:pStyle w:val="Adresses"/>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767DE98" id="Zone de texte 1435999178" o:spid="_x0000_s1028" type="#_x0000_t202" style="position:absolute;margin-left:93.4pt;margin-top:13.8pt;width:180.75pt;height:80.3pt;z-index:252813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" stroked="f">
                <v:textbox style="mso-fit-shape-to-text:t">
                  <w:txbxContent>
                    <w:p w14:paraId="2268CDA6" w14:textId="77777777" w:rsidR="00055A7C" w:rsidRPr="00F647FA" w:rsidRDefault="00055A7C" w:rsidP="00055A7C">
                      <w:pPr>
                        <w:jc w:val="left"/>
                        <w:rPr>
                          <w:rStyle w:val="AdressesCar"/>
                        </w:rPr>
                      </w:pPr>
                      <w:r w:rsidRPr="00753C95">
                        <w:rPr>
                          <w:rStyle w:val="lev"/>
                          <w:szCs w:val="20"/>
                        </w:rPr>
                        <w:t>AL</w:t>
                      </w:r>
                      <w:r>
                        <w:rPr>
                          <w:rStyle w:val="lev"/>
                          <w:szCs w:val="20"/>
                        </w:rPr>
                        <w:t xml:space="preserve">TEREA </w:t>
                      </w:r>
                      <w:r w:rsidRPr="00753C95">
                        <w:rPr>
                          <w:rStyle w:val="lev"/>
                          <w:szCs w:val="20"/>
                        </w:rPr>
                        <w:t>AGENCE OUEST</w:t>
                      </w:r>
                      <w:r w:rsidRPr="00753C95">
                        <w:rPr>
                          <w:rFonts w:eastAsia="Calibri"/>
                          <w:b/>
                          <w:smallCaps/>
                          <w:szCs w:val="20"/>
                        </w:rPr>
                        <w:br/>
                      </w:r>
                      <w:r w:rsidRPr="00F647FA">
                        <w:rPr>
                          <w:rStyle w:val="AdressesCar"/>
                        </w:rPr>
                        <w:t>26, boulevard Vincent Gâche</w:t>
                      </w:r>
                      <w:r w:rsidRPr="00F647FA">
                        <w:rPr>
                          <w:rStyle w:val="AdressesCar"/>
                        </w:rPr>
                        <w:br/>
                        <w:t>44 275 Nantes (Cedex 2)</w:t>
                      </w:r>
                      <w:r w:rsidRPr="00F647FA">
                        <w:rPr>
                          <w:rStyle w:val="AdressesCar"/>
                        </w:rPr>
                        <w:br/>
                      </w:r>
                      <w:r w:rsidRPr="00F647FA">
                        <w:rPr>
                          <w:rStyle w:val="AdressesCar"/>
                          <w:b/>
                          <w:bCs/>
                        </w:rPr>
                        <w:t>T</w:t>
                      </w:r>
                      <w:r w:rsidRPr="00F647FA">
                        <w:rPr>
                          <w:rStyle w:val="AdressesCar"/>
                        </w:rPr>
                        <w:t xml:space="preserve"> 02 40 74 24 81</w:t>
                      </w:r>
                    </w:p>
                    <w:p w14:paraId="29A62B47" w14:textId="77777777" w:rsidR="00055A7C" w:rsidRPr="00C70730" w:rsidRDefault="00055A7C" w:rsidP="00055A7C">
                      <w:pPr>
                        <w:pStyle w:val="Adresses"/>
                      </w:pPr>
                    </w:p>
                  </w:txbxContent>
                </v:textbox>
                <w10:wrap anchorx="margin"/>
              </v:shape>
            </w:pict>
          </mc:Fallback>
        </mc:AlternateContent>
      </w:r>
    </w:p>
    <w:p w14:paraId="7D113499" w14:textId="77777777" w:rsidR="00055A7C" w:rsidRPr="00055A7C" w:rsidRDefault="00055A7C" w:rsidP="00055A7C">
      <w:pPr>
        <w:spacing w:after="160"/>
        <w:ind w:left="2127"/>
        <w:jc w:val="left"/>
        <w:rPr>
          <w:rFonts w:eastAsia="Times New Roman" w:cs="Times New Roman"/>
          <w:color w:val="auto"/>
          <w:kern w:val="2"/>
          <w:sz w:val="18"/>
          <w:highlight w:val="yellow"/>
          <w:lang w:eastAsia="en-US"/>
          <w14:ligatures w14:val="standardContextual"/>
        </w:rPr>
      </w:pPr>
      <w:r w:rsidRPr="00055A7C">
        <w:rPr>
          <w:rFonts w:eastAsia="Times New Roman" w:cs="Times New Roman"/>
          <w:noProof/>
          <w:color w:val="auto"/>
          <w:szCs w:val="20"/>
          <w:highlight w:val="yellow"/>
        </w:rPr>
        <w:drawing>
          <wp:anchor distT="0" distB="0" distL="114300" distR="114300" simplePos="0" relativeHeight="252811264" behindDoc="1" locked="0" layoutInCell="1" allowOverlap="1" wp14:anchorId="1273BAF6" wp14:editId="7CD823AA">
            <wp:simplePos x="0" y="0"/>
            <wp:positionH relativeFrom="margin">
              <wp:posOffset>3810</wp:posOffset>
            </wp:positionH>
            <wp:positionV relativeFrom="paragraph">
              <wp:posOffset>124283</wp:posOffset>
            </wp:positionV>
            <wp:extent cx="1167765" cy="205105"/>
            <wp:effectExtent l="0" t="0" r="0" b="4445"/>
            <wp:wrapSquare wrapText="bothSides"/>
            <wp:docPr id="43" name="Image 2">
              <a:extLst xmlns:a="http://schemas.openxmlformats.org/drawingml/2006/main">
                <a:ext uri="{FF2B5EF4-FFF2-40B4-BE49-F238E27FC236}">
                  <a16:creationId xmlns:a16="http://schemas.microsoft.com/office/drawing/2014/main" id="{D8473FE2-3520-4288-8EF6-09A7C8C271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D8473FE2-3520-4288-8EF6-09A7C8C271C3}"/>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7765" cy="205105"/>
                    </a:xfrm>
                    <a:prstGeom prst="rect">
                      <a:avLst/>
                    </a:prstGeom>
                  </pic:spPr>
                </pic:pic>
              </a:graphicData>
            </a:graphic>
            <wp14:sizeRelH relativeFrom="margin">
              <wp14:pctWidth>0</wp14:pctWidth>
            </wp14:sizeRelH>
            <wp14:sizeRelV relativeFrom="margin">
              <wp14:pctHeight>0</wp14:pctHeight>
            </wp14:sizeRelV>
          </wp:anchor>
        </w:drawing>
      </w:r>
    </w:p>
    <w:p w14:paraId="181BD9CE" w14:textId="77777777" w:rsidR="00055A7C" w:rsidRPr="00055A7C" w:rsidRDefault="00055A7C" w:rsidP="00055A7C">
      <w:pPr>
        <w:spacing w:after="160"/>
        <w:jc w:val="left"/>
        <w:rPr>
          <w:rFonts w:eastAsia="Times New Roman" w:cs="Times New Roman"/>
          <w:color w:val="auto"/>
          <w:szCs w:val="20"/>
          <w:highlight w:val="yellow"/>
          <w:lang w:eastAsia="en-US"/>
        </w:rPr>
      </w:pPr>
    </w:p>
    <w:p w14:paraId="162AFFEE" w14:textId="77777777" w:rsidR="009D5530" w:rsidRPr="00E1705D" w:rsidRDefault="009D5530">
      <w:pPr>
        <w:pStyle w:val="SGBDS-Normal"/>
      </w:pPr>
    </w:p>
    <w:tbl>
      <w:tblPr>
        <w:tblStyle w:val="Grilledutableau1"/>
        <w:tblpPr w:leftFromText="141" w:rightFromText="141" w:vertAnchor="page" w:horzAnchor="margin" w:tblpY="7561"/>
        <w:tblW w:w="5064" w:type="pct"/>
        <w:tblBorders>
          <w:top w:val="single" w:sz="4" w:space="0" w:color="605C5B" w:themeColor="text1"/>
          <w:left w:val="single" w:sz="4" w:space="0" w:color="605C5B" w:themeColor="text1"/>
          <w:bottom w:val="single" w:sz="4" w:space="0" w:color="605C5B" w:themeColor="text1"/>
          <w:right w:val="single" w:sz="4" w:space="0" w:color="605C5B" w:themeColor="text1"/>
          <w:insideH w:val="single" w:sz="4" w:space="0" w:color="605C5B" w:themeColor="text1"/>
          <w:insideV w:val="single" w:sz="4" w:space="0" w:color="605C5B" w:themeColor="text1"/>
        </w:tblBorders>
        <w:tblLayout w:type="fixed"/>
        <w:tblLook w:val="04A0" w:firstRow="1" w:lastRow="0" w:firstColumn="1" w:lastColumn="0" w:noHBand="0" w:noVBand="1"/>
      </w:tblPr>
      <w:tblGrid>
        <w:gridCol w:w="850"/>
        <w:gridCol w:w="1277"/>
        <w:gridCol w:w="2126"/>
        <w:gridCol w:w="1701"/>
        <w:gridCol w:w="1872"/>
        <w:gridCol w:w="1242"/>
        <w:gridCol w:w="118"/>
      </w:tblGrid>
      <w:tr w:rsidR="00C57179" w:rsidRPr="004B3FE5" w14:paraId="446CE17D" w14:textId="77777777" w:rsidTr="000223B3">
        <w:trPr>
          <w:gridAfter w:val="1"/>
          <w:wAfter w:w="64" w:type="pct"/>
          <w:trHeight w:val="887"/>
        </w:trPr>
        <w:tc>
          <w:tcPr>
            <w:tcW w:w="4936" w:type="pct"/>
            <w:gridSpan w:val="6"/>
            <w:tcBorders>
              <w:top w:val="nil"/>
              <w:left w:val="nil"/>
              <w:right w:val="nil"/>
            </w:tcBorders>
            <w:vAlign w:val="center"/>
          </w:tcPr>
          <w:p w14:paraId="45400782" w14:textId="77777777" w:rsidR="00C57179" w:rsidRPr="004B3FE5" w:rsidRDefault="00C57179" w:rsidP="000223B3">
            <w:pPr>
              <w:rPr>
                <w:szCs w:val="20"/>
                <w:highlight w:val="yellow"/>
              </w:rPr>
            </w:pPr>
            <w:r w:rsidRPr="00C57179">
              <w:rPr>
                <w:sz w:val="24"/>
                <w:szCs w:val="24"/>
              </w:rPr>
              <w:t>SUIVI DU DOCUMENT :</w:t>
            </w:r>
          </w:p>
        </w:tc>
      </w:tr>
      <w:tr w:rsidR="00C57179" w:rsidRPr="004B3FE5" w14:paraId="403D56FE" w14:textId="77777777" w:rsidTr="00055A7C">
        <w:trPr>
          <w:trHeight w:val="454"/>
        </w:trPr>
        <w:tc>
          <w:tcPr>
            <w:tcW w:w="463" w:type="pct"/>
            <w:tcBorders>
              <w:top w:val="nil"/>
              <w:left w:val="nil"/>
            </w:tcBorders>
            <w:vAlign w:val="center"/>
          </w:tcPr>
          <w:p w14:paraId="20135B65" w14:textId="77777777" w:rsidR="00C57179" w:rsidRPr="00C57179" w:rsidRDefault="00C57179" w:rsidP="00055A7C">
            <w:pPr>
              <w:jc w:val="center"/>
              <w:rPr>
                <w:sz w:val="22"/>
              </w:rPr>
            </w:pPr>
            <w:r w:rsidRPr="00C57179">
              <w:rPr>
                <w:sz w:val="22"/>
              </w:rPr>
              <w:t>Indice</w:t>
            </w:r>
          </w:p>
        </w:tc>
        <w:tc>
          <w:tcPr>
            <w:tcW w:w="695" w:type="pct"/>
            <w:tcBorders>
              <w:top w:val="nil"/>
            </w:tcBorders>
            <w:vAlign w:val="center"/>
            <w:hideMark/>
          </w:tcPr>
          <w:p w14:paraId="21A5E325" w14:textId="77777777" w:rsidR="00C57179" w:rsidRPr="00C57179" w:rsidRDefault="00C57179" w:rsidP="00055A7C">
            <w:pPr>
              <w:jc w:val="center"/>
              <w:rPr>
                <w:sz w:val="22"/>
              </w:rPr>
            </w:pPr>
            <w:r w:rsidRPr="00C57179">
              <w:rPr>
                <w:sz w:val="22"/>
              </w:rPr>
              <w:t>Date</w:t>
            </w:r>
          </w:p>
        </w:tc>
        <w:tc>
          <w:tcPr>
            <w:tcW w:w="1157" w:type="pct"/>
            <w:tcBorders>
              <w:top w:val="nil"/>
            </w:tcBorders>
            <w:vAlign w:val="center"/>
          </w:tcPr>
          <w:p w14:paraId="7407D7C8" w14:textId="77777777" w:rsidR="00C57179" w:rsidRPr="00C57179" w:rsidRDefault="00C57179" w:rsidP="00055A7C">
            <w:pPr>
              <w:jc w:val="center"/>
              <w:rPr>
                <w:sz w:val="22"/>
              </w:rPr>
            </w:pPr>
            <w:r w:rsidRPr="00C57179">
              <w:rPr>
                <w:sz w:val="22"/>
              </w:rPr>
              <w:t>Modifications</w:t>
            </w:r>
          </w:p>
        </w:tc>
        <w:tc>
          <w:tcPr>
            <w:tcW w:w="926" w:type="pct"/>
            <w:tcBorders>
              <w:top w:val="nil"/>
            </w:tcBorders>
            <w:vAlign w:val="center"/>
          </w:tcPr>
          <w:p w14:paraId="6BEE0F96" w14:textId="77777777" w:rsidR="00C57179" w:rsidRPr="00C57179" w:rsidRDefault="00C57179" w:rsidP="00055A7C">
            <w:pPr>
              <w:jc w:val="center"/>
              <w:rPr>
                <w:sz w:val="22"/>
              </w:rPr>
            </w:pPr>
            <w:r w:rsidRPr="00C57179">
              <w:rPr>
                <w:sz w:val="22"/>
              </w:rPr>
              <w:t>Rédaction</w:t>
            </w:r>
          </w:p>
        </w:tc>
        <w:tc>
          <w:tcPr>
            <w:tcW w:w="1019" w:type="pct"/>
            <w:tcBorders>
              <w:top w:val="nil"/>
            </w:tcBorders>
            <w:vAlign w:val="center"/>
          </w:tcPr>
          <w:p w14:paraId="26D8D81E" w14:textId="77777777" w:rsidR="00C57179" w:rsidRPr="00C57179" w:rsidRDefault="00C57179" w:rsidP="00055A7C">
            <w:pPr>
              <w:jc w:val="center"/>
              <w:rPr>
                <w:sz w:val="22"/>
              </w:rPr>
            </w:pPr>
            <w:r w:rsidRPr="00C57179">
              <w:rPr>
                <w:sz w:val="22"/>
              </w:rPr>
              <w:t>Vérification</w:t>
            </w:r>
          </w:p>
        </w:tc>
        <w:tc>
          <w:tcPr>
            <w:tcW w:w="740" w:type="pct"/>
            <w:gridSpan w:val="2"/>
            <w:tcBorders>
              <w:top w:val="nil"/>
              <w:right w:val="nil"/>
            </w:tcBorders>
            <w:vAlign w:val="center"/>
          </w:tcPr>
          <w:p w14:paraId="67E7BCA8" w14:textId="77777777" w:rsidR="00C57179" w:rsidRPr="00C57179" w:rsidRDefault="00C57179" w:rsidP="00055A7C">
            <w:pPr>
              <w:jc w:val="center"/>
              <w:rPr>
                <w:sz w:val="22"/>
              </w:rPr>
            </w:pPr>
            <w:r w:rsidRPr="00C57179">
              <w:rPr>
                <w:sz w:val="22"/>
              </w:rPr>
              <w:t>Validation</w:t>
            </w:r>
          </w:p>
        </w:tc>
      </w:tr>
      <w:tr w:rsidR="00C57179" w:rsidRPr="004B3FE5" w14:paraId="43FBAB90" w14:textId="77777777" w:rsidTr="00055A7C">
        <w:trPr>
          <w:trHeight w:val="454"/>
        </w:trPr>
        <w:tc>
          <w:tcPr>
            <w:tcW w:w="463" w:type="pct"/>
            <w:tcBorders>
              <w:left w:val="nil"/>
              <w:bottom w:val="nil"/>
            </w:tcBorders>
            <w:vAlign w:val="center"/>
          </w:tcPr>
          <w:p w14:paraId="0C3F1F93" w14:textId="77777777" w:rsidR="00C57179" w:rsidRPr="00055A7C" w:rsidRDefault="00C57179" w:rsidP="00055A7C">
            <w:pPr>
              <w:jc w:val="center"/>
              <w:rPr>
                <w:sz w:val="18"/>
                <w:szCs w:val="18"/>
              </w:rPr>
            </w:pPr>
            <w:r w:rsidRPr="00055A7C">
              <w:rPr>
                <w:sz w:val="18"/>
                <w:szCs w:val="18"/>
              </w:rPr>
              <w:t>1</w:t>
            </w:r>
          </w:p>
        </w:tc>
        <w:tc>
          <w:tcPr>
            <w:tcW w:w="695" w:type="pct"/>
            <w:tcBorders>
              <w:bottom w:val="nil"/>
            </w:tcBorders>
            <w:vAlign w:val="center"/>
          </w:tcPr>
          <w:p w14:paraId="6CAB00F3" w14:textId="085BB685" w:rsidR="00C57179" w:rsidRPr="00055A7C" w:rsidRDefault="00055A7C" w:rsidP="00055A7C">
            <w:pPr>
              <w:jc w:val="center"/>
              <w:rPr>
                <w:sz w:val="18"/>
                <w:szCs w:val="18"/>
              </w:rPr>
            </w:pPr>
            <w:r w:rsidRPr="00055A7C">
              <w:rPr>
                <w:sz w:val="18"/>
                <w:szCs w:val="18"/>
              </w:rPr>
              <w:t>09</w:t>
            </w:r>
            <w:r w:rsidR="00C57179" w:rsidRPr="00055A7C">
              <w:rPr>
                <w:sz w:val="18"/>
                <w:szCs w:val="18"/>
              </w:rPr>
              <w:t>/</w:t>
            </w:r>
            <w:r w:rsidRPr="00055A7C">
              <w:rPr>
                <w:sz w:val="18"/>
                <w:szCs w:val="18"/>
              </w:rPr>
              <w:t>10</w:t>
            </w:r>
            <w:r w:rsidR="00C57179" w:rsidRPr="00055A7C">
              <w:rPr>
                <w:sz w:val="18"/>
                <w:szCs w:val="18"/>
              </w:rPr>
              <w:t>//2024</w:t>
            </w:r>
          </w:p>
        </w:tc>
        <w:tc>
          <w:tcPr>
            <w:tcW w:w="1157" w:type="pct"/>
            <w:tcBorders>
              <w:bottom w:val="nil"/>
            </w:tcBorders>
            <w:vAlign w:val="center"/>
          </w:tcPr>
          <w:p w14:paraId="77504D1B" w14:textId="77777777" w:rsidR="00C57179" w:rsidRPr="00C57179" w:rsidRDefault="00C57179" w:rsidP="00055A7C">
            <w:pPr>
              <w:jc w:val="center"/>
              <w:rPr>
                <w:i/>
                <w:sz w:val="18"/>
                <w:szCs w:val="18"/>
              </w:rPr>
            </w:pPr>
            <w:r w:rsidRPr="00C57179">
              <w:rPr>
                <w:i/>
                <w:sz w:val="18"/>
                <w:szCs w:val="18"/>
              </w:rPr>
              <w:t>1</w:t>
            </w:r>
            <w:r w:rsidRPr="00C57179">
              <w:rPr>
                <w:i/>
                <w:sz w:val="18"/>
                <w:szCs w:val="18"/>
                <w:vertAlign w:val="superscript"/>
              </w:rPr>
              <w:t>ère</w:t>
            </w:r>
            <w:r w:rsidRPr="00C57179">
              <w:rPr>
                <w:i/>
                <w:sz w:val="18"/>
                <w:szCs w:val="18"/>
              </w:rPr>
              <w:t xml:space="preserve"> version du rapport</w:t>
            </w:r>
          </w:p>
        </w:tc>
        <w:tc>
          <w:tcPr>
            <w:tcW w:w="926" w:type="pct"/>
            <w:tcBorders>
              <w:bottom w:val="nil"/>
            </w:tcBorders>
            <w:vAlign w:val="center"/>
          </w:tcPr>
          <w:p w14:paraId="5EAAF520" w14:textId="4237B2E6" w:rsidR="00C57179" w:rsidRPr="00C57179" w:rsidRDefault="00C57179" w:rsidP="00055A7C">
            <w:pPr>
              <w:jc w:val="center"/>
              <w:rPr>
                <w:sz w:val="18"/>
                <w:szCs w:val="18"/>
              </w:rPr>
            </w:pPr>
            <w:r w:rsidRPr="00C57179">
              <w:rPr>
                <w:sz w:val="18"/>
                <w:szCs w:val="18"/>
              </w:rPr>
              <w:t>Gwendal MADEC</w:t>
            </w:r>
            <w:r w:rsidR="0094567D">
              <w:rPr>
                <w:sz w:val="18"/>
                <w:szCs w:val="18"/>
              </w:rPr>
              <w:t>, Lise GOMMENDY</w:t>
            </w:r>
          </w:p>
        </w:tc>
        <w:tc>
          <w:tcPr>
            <w:tcW w:w="1019" w:type="pct"/>
            <w:tcBorders>
              <w:bottom w:val="nil"/>
            </w:tcBorders>
            <w:vAlign w:val="center"/>
          </w:tcPr>
          <w:p w14:paraId="5FC9C3B5" w14:textId="77777777" w:rsidR="00C57179" w:rsidRDefault="00C57179" w:rsidP="00055A7C">
            <w:pPr>
              <w:jc w:val="center"/>
              <w:rPr>
                <w:sz w:val="18"/>
                <w:szCs w:val="18"/>
              </w:rPr>
            </w:pPr>
            <w:r w:rsidRPr="00C57179">
              <w:rPr>
                <w:sz w:val="18"/>
                <w:szCs w:val="18"/>
              </w:rPr>
              <w:t>Pierre-Louis GARCIA-LE FLOCH</w:t>
            </w:r>
          </w:p>
          <w:p w14:paraId="5F8AB141" w14:textId="79D63795" w:rsidR="00055A7C" w:rsidRPr="00C57179" w:rsidRDefault="00055A7C" w:rsidP="00055A7C">
            <w:pPr>
              <w:jc w:val="center"/>
              <w:rPr>
                <w:sz w:val="18"/>
                <w:szCs w:val="18"/>
              </w:rPr>
            </w:pPr>
            <w:r>
              <w:rPr>
                <w:sz w:val="18"/>
                <w:szCs w:val="18"/>
              </w:rPr>
              <w:t>Lucille LE GALL</w:t>
            </w:r>
          </w:p>
        </w:tc>
        <w:tc>
          <w:tcPr>
            <w:tcW w:w="740" w:type="pct"/>
            <w:gridSpan w:val="2"/>
            <w:tcBorders>
              <w:bottom w:val="nil"/>
              <w:right w:val="nil"/>
            </w:tcBorders>
            <w:vAlign w:val="center"/>
          </w:tcPr>
          <w:p w14:paraId="66BEE247" w14:textId="77777777" w:rsidR="00C57179" w:rsidRPr="00C57179" w:rsidRDefault="00C57179" w:rsidP="00055A7C">
            <w:pPr>
              <w:jc w:val="center"/>
              <w:rPr>
                <w:sz w:val="18"/>
                <w:szCs w:val="18"/>
              </w:rPr>
            </w:pPr>
            <w:r w:rsidRPr="00C57179">
              <w:rPr>
                <w:sz w:val="18"/>
                <w:szCs w:val="18"/>
              </w:rPr>
              <w:t>Alain GARDELLE</w:t>
            </w:r>
          </w:p>
        </w:tc>
      </w:tr>
    </w:tbl>
    <w:p w14:paraId="31040D91" w14:textId="38AC9E77" w:rsidR="00C57179" w:rsidRPr="00C57179" w:rsidRDefault="00C57179" w:rsidP="00C57179">
      <w:pPr>
        <w:tabs>
          <w:tab w:val="left" w:pos="2225"/>
        </w:tabs>
        <w:rPr>
          <w:highlight w:val="yellow"/>
        </w:rPr>
        <w:sectPr w:rsidR="00C57179" w:rsidRPr="00C57179" w:rsidSect="0094567D">
          <w:headerReference w:type="even" r:id="rId12"/>
          <w:headerReference w:type="default" r:id="rId13"/>
          <w:footerReference w:type="even" r:id="rId14"/>
          <w:footerReference w:type="default" r:id="rId15"/>
          <w:pgSz w:w="11906" w:h="16838"/>
          <w:pgMar w:top="1418" w:right="1418" w:bottom="1134" w:left="1418" w:header="567" w:footer="567" w:gutter="0"/>
          <w:cols w:space="708"/>
          <w:titlePg/>
          <w:docGrid w:linePitch="360"/>
        </w:sectPr>
      </w:pPr>
    </w:p>
    <w:bookmarkStart w:id="0" w:name="_Toc524447203" w:displacedByCustomXml="next"/>
    <w:sdt>
      <w:sdtPr>
        <w:rPr>
          <w:b w:val="0"/>
          <w:bCs w:val="0"/>
          <w:caps w:val="0"/>
          <w:color w:val="000000" w:themeColor="background1"/>
          <w:sz w:val="20"/>
          <w:szCs w:val="22"/>
          <w:highlight w:val="yellow"/>
        </w:rPr>
        <w:id w:val="1625119664"/>
        <w:docPartObj>
          <w:docPartGallery w:val="Table of Contents"/>
          <w:docPartUnique/>
        </w:docPartObj>
      </w:sdtPr>
      <w:sdtEndPr/>
      <w:sdtContent>
        <w:p w14:paraId="03892E46" w14:textId="77777777" w:rsidR="009D5530" w:rsidRPr="00836C5A" w:rsidRDefault="007E57EC">
          <w:pPr>
            <w:pStyle w:val="En-ttedetabledesmatires"/>
            <w:rPr>
              <w:color w:val="auto"/>
            </w:rPr>
          </w:pPr>
          <w:r w:rsidRPr="00836C5A">
            <w:rPr>
              <w:color w:val="auto"/>
            </w:rPr>
            <w:t>SOMMAIRE</w:t>
          </w:r>
        </w:p>
        <w:p w14:paraId="02DEEA0A" w14:textId="48F14DA4" w:rsidR="00666805" w:rsidRDefault="007E57EC">
          <w:pPr>
            <w:pStyle w:val="TM1"/>
            <w:rPr>
              <w:rStyle w:val="Lienhypertexte"/>
              <w:noProof/>
            </w:rPr>
          </w:pPr>
          <w:r w:rsidRPr="00E1705D">
            <w:rPr>
              <w:highlight w:val="yellow"/>
            </w:rPr>
            <w:fldChar w:fldCharType="begin"/>
          </w:r>
          <w:r w:rsidRPr="00E1705D">
            <w:rPr>
              <w:highlight w:val="yellow"/>
            </w:rPr>
            <w:instrText xml:space="preserve"> TOC \o "1-3" \h \z \u </w:instrText>
          </w:r>
          <w:r w:rsidRPr="00E1705D">
            <w:rPr>
              <w:highlight w:val="yellow"/>
            </w:rPr>
            <w:fldChar w:fldCharType="separate"/>
          </w:r>
          <w:hyperlink w:anchor="_Toc179277389" w:history="1">
            <w:r w:rsidR="00666805" w:rsidRPr="00692F81">
              <w:rPr>
                <w:rStyle w:val="Lienhypertexte"/>
                <w:noProof/>
              </w:rPr>
              <w:t>1.</w:t>
            </w:r>
            <w:r w:rsidR="00666805">
              <w:rPr>
                <w:rFonts w:eastAsiaTheme="minorEastAsia" w:cstheme="minorBidi"/>
                <w:b w:val="0"/>
                <w:bCs w:val="0"/>
                <w:caps w:val="0"/>
                <w:noProof/>
                <w:kern w:val="2"/>
                <w:szCs w:val="24"/>
                <w14:ligatures w14:val="standardContextual"/>
              </w:rPr>
              <w:tab/>
            </w:r>
            <w:r w:rsidR="00666805" w:rsidRPr="00692F81">
              <w:rPr>
                <w:rStyle w:val="Lienhypertexte"/>
                <w:noProof/>
              </w:rPr>
              <w:t>Contexte règlementaire</w:t>
            </w:r>
            <w:r w:rsidR="00666805">
              <w:rPr>
                <w:noProof/>
                <w:webHidden/>
              </w:rPr>
              <w:tab/>
            </w:r>
            <w:r w:rsidR="00666805">
              <w:rPr>
                <w:noProof/>
                <w:webHidden/>
              </w:rPr>
              <w:fldChar w:fldCharType="begin"/>
            </w:r>
            <w:r w:rsidR="00666805">
              <w:rPr>
                <w:noProof/>
                <w:webHidden/>
              </w:rPr>
              <w:instrText xml:space="preserve"> PAGEREF _Toc179277389 \h </w:instrText>
            </w:r>
            <w:r w:rsidR="00666805">
              <w:rPr>
                <w:noProof/>
                <w:webHidden/>
              </w:rPr>
            </w:r>
            <w:r w:rsidR="00666805">
              <w:rPr>
                <w:noProof/>
                <w:webHidden/>
              </w:rPr>
              <w:fldChar w:fldCharType="separate"/>
            </w:r>
            <w:r w:rsidR="007F7541">
              <w:rPr>
                <w:noProof/>
                <w:webHidden/>
              </w:rPr>
              <w:t>5</w:t>
            </w:r>
            <w:r w:rsidR="00666805">
              <w:rPr>
                <w:noProof/>
                <w:webHidden/>
              </w:rPr>
              <w:fldChar w:fldCharType="end"/>
            </w:r>
          </w:hyperlink>
        </w:p>
        <w:p w14:paraId="14236877" w14:textId="77777777" w:rsidR="00B60814" w:rsidRPr="00B60814" w:rsidRDefault="00B60814" w:rsidP="00B60814"/>
        <w:p w14:paraId="3CC52B98" w14:textId="652397C9" w:rsidR="00666805" w:rsidRDefault="00666805">
          <w:pPr>
            <w:pStyle w:val="TM1"/>
            <w:rPr>
              <w:rFonts w:eastAsiaTheme="minorEastAsia" w:cstheme="minorBidi"/>
              <w:b w:val="0"/>
              <w:bCs w:val="0"/>
              <w:caps w:val="0"/>
              <w:noProof/>
              <w:kern w:val="2"/>
              <w:szCs w:val="24"/>
              <w14:ligatures w14:val="standardContextual"/>
            </w:rPr>
          </w:pPr>
          <w:hyperlink w:anchor="_Toc179277390" w:history="1">
            <w:r w:rsidRPr="00692F81">
              <w:rPr>
                <w:rStyle w:val="Lienhypertexte"/>
                <w:noProof/>
              </w:rPr>
              <w:t>2.</w:t>
            </w:r>
            <w:r>
              <w:rPr>
                <w:rFonts w:eastAsiaTheme="minorEastAsia" w:cstheme="minorBidi"/>
                <w:b w:val="0"/>
                <w:bCs w:val="0"/>
                <w:caps w:val="0"/>
                <w:noProof/>
                <w:kern w:val="2"/>
                <w:szCs w:val="24"/>
                <w14:ligatures w14:val="standardContextual"/>
              </w:rPr>
              <w:tab/>
            </w:r>
            <w:r w:rsidRPr="00692F81">
              <w:rPr>
                <w:rStyle w:val="Lienhypertexte"/>
                <w:noProof/>
              </w:rPr>
              <w:t>Synthèse de l’état initial</w:t>
            </w:r>
            <w:r>
              <w:rPr>
                <w:noProof/>
                <w:webHidden/>
              </w:rPr>
              <w:tab/>
            </w:r>
            <w:r>
              <w:rPr>
                <w:noProof/>
                <w:webHidden/>
              </w:rPr>
              <w:fldChar w:fldCharType="begin"/>
            </w:r>
            <w:r>
              <w:rPr>
                <w:noProof/>
                <w:webHidden/>
              </w:rPr>
              <w:instrText xml:space="preserve"> PAGEREF _Toc179277390 \h </w:instrText>
            </w:r>
            <w:r>
              <w:rPr>
                <w:noProof/>
                <w:webHidden/>
              </w:rPr>
            </w:r>
            <w:r>
              <w:rPr>
                <w:noProof/>
                <w:webHidden/>
              </w:rPr>
              <w:fldChar w:fldCharType="separate"/>
            </w:r>
            <w:r w:rsidR="007F7541">
              <w:rPr>
                <w:noProof/>
                <w:webHidden/>
              </w:rPr>
              <w:t>7</w:t>
            </w:r>
            <w:r>
              <w:rPr>
                <w:noProof/>
                <w:webHidden/>
              </w:rPr>
              <w:fldChar w:fldCharType="end"/>
            </w:r>
          </w:hyperlink>
        </w:p>
        <w:p w14:paraId="73263545" w14:textId="388F90D6" w:rsidR="00666805" w:rsidRDefault="00666805">
          <w:pPr>
            <w:pStyle w:val="TM2"/>
            <w:rPr>
              <w:rFonts w:eastAsiaTheme="minorEastAsia"/>
              <w:b w:val="0"/>
              <w:smallCaps w:val="0"/>
              <w:noProof/>
              <w:kern w:val="2"/>
              <w:sz w:val="24"/>
              <w:szCs w:val="24"/>
              <w14:ligatures w14:val="standardContextual"/>
            </w:rPr>
          </w:pPr>
          <w:hyperlink w:anchor="_Toc179277391" w:history="1">
            <w:r w:rsidRPr="00692F81">
              <w:rPr>
                <w:rStyle w:val="Lienhypertexte"/>
                <w:noProof/>
              </w:rPr>
              <w:t>2.1</w:t>
            </w:r>
            <w:r>
              <w:rPr>
                <w:rFonts w:eastAsiaTheme="minorEastAsia"/>
                <w:b w:val="0"/>
                <w:smallCaps w:val="0"/>
                <w:noProof/>
                <w:kern w:val="2"/>
                <w:sz w:val="24"/>
                <w:szCs w:val="24"/>
                <w14:ligatures w14:val="standardContextual"/>
              </w:rPr>
              <w:tab/>
            </w:r>
            <w:r w:rsidRPr="00692F81">
              <w:rPr>
                <w:rStyle w:val="Lienhypertexte"/>
                <w:noProof/>
              </w:rPr>
              <w:t>Milieux naturels et physiques</w:t>
            </w:r>
            <w:r>
              <w:rPr>
                <w:noProof/>
                <w:webHidden/>
              </w:rPr>
              <w:tab/>
            </w:r>
            <w:r>
              <w:rPr>
                <w:noProof/>
                <w:webHidden/>
              </w:rPr>
              <w:fldChar w:fldCharType="begin"/>
            </w:r>
            <w:r>
              <w:rPr>
                <w:noProof/>
                <w:webHidden/>
              </w:rPr>
              <w:instrText xml:space="preserve"> PAGEREF _Toc179277391 \h </w:instrText>
            </w:r>
            <w:r>
              <w:rPr>
                <w:noProof/>
                <w:webHidden/>
              </w:rPr>
            </w:r>
            <w:r>
              <w:rPr>
                <w:noProof/>
                <w:webHidden/>
              </w:rPr>
              <w:fldChar w:fldCharType="separate"/>
            </w:r>
            <w:r w:rsidR="007F7541">
              <w:rPr>
                <w:noProof/>
                <w:webHidden/>
              </w:rPr>
              <w:t>7</w:t>
            </w:r>
            <w:r>
              <w:rPr>
                <w:noProof/>
                <w:webHidden/>
              </w:rPr>
              <w:fldChar w:fldCharType="end"/>
            </w:r>
          </w:hyperlink>
        </w:p>
        <w:p w14:paraId="1BD67AC0" w14:textId="7B89B2DC" w:rsidR="00666805" w:rsidRDefault="00666805">
          <w:pPr>
            <w:pStyle w:val="TM2"/>
            <w:rPr>
              <w:rFonts w:eastAsiaTheme="minorEastAsia"/>
              <w:b w:val="0"/>
              <w:smallCaps w:val="0"/>
              <w:noProof/>
              <w:kern w:val="2"/>
              <w:sz w:val="24"/>
              <w:szCs w:val="24"/>
              <w14:ligatures w14:val="standardContextual"/>
            </w:rPr>
          </w:pPr>
          <w:hyperlink w:anchor="_Toc179277392" w:history="1">
            <w:r w:rsidRPr="00692F81">
              <w:rPr>
                <w:rStyle w:val="Lienhypertexte"/>
                <w:noProof/>
              </w:rPr>
              <w:t>2.2</w:t>
            </w:r>
            <w:r>
              <w:rPr>
                <w:rFonts w:eastAsiaTheme="minorEastAsia"/>
                <w:b w:val="0"/>
                <w:smallCaps w:val="0"/>
                <w:noProof/>
                <w:kern w:val="2"/>
                <w:sz w:val="24"/>
                <w:szCs w:val="24"/>
                <w14:ligatures w14:val="standardContextual"/>
              </w:rPr>
              <w:tab/>
            </w:r>
            <w:r w:rsidRPr="00692F81">
              <w:rPr>
                <w:rStyle w:val="Lienhypertexte"/>
                <w:noProof/>
              </w:rPr>
              <w:t>Profil socio-économique</w:t>
            </w:r>
            <w:r>
              <w:rPr>
                <w:noProof/>
                <w:webHidden/>
              </w:rPr>
              <w:tab/>
            </w:r>
            <w:r>
              <w:rPr>
                <w:noProof/>
                <w:webHidden/>
              </w:rPr>
              <w:fldChar w:fldCharType="begin"/>
            </w:r>
            <w:r>
              <w:rPr>
                <w:noProof/>
                <w:webHidden/>
              </w:rPr>
              <w:instrText xml:space="preserve"> PAGEREF _Toc179277392 \h </w:instrText>
            </w:r>
            <w:r>
              <w:rPr>
                <w:noProof/>
                <w:webHidden/>
              </w:rPr>
            </w:r>
            <w:r>
              <w:rPr>
                <w:noProof/>
                <w:webHidden/>
              </w:rPr>
              <w:fldChar w:fldCharType="separate"/>
            </w:r>
            <w:r w:rsidR="007F7541">
              <w:rPr>
                <w:noProof/>
                <w:webHidden/>
              </w:rPr>
              <w:t>8</w:t>
            </w:r>
            <w:r>
              <w:rPr>
                <w:noProof/>
                <w:webHidden/>
              </w:rPr>
              <w:fldChar w:fldCharType="end"/>
            </w:r>
          </w:hyperlink>
        </w:p>
        <w:p w14:paraId="0E2FD3C5" w14:textId="3F89607F" w:rsidR="00666805" w:rsidRDefault="00666805">
          <w:pPr>
            <w:pStyle w:val="TM2"/>
            <w:rPr>
              <w:rFonts w:eastAsiaTheme="minorEastAsia"/>
              <w:b w:val="0"/>
              <w:smallCaps w:val="0"/>
              <w:noProof/>
              <w:kern w:val="2"/>
              <w:sz w:val="24"/>
              <w:szCs w:val="24"/>
              <w14:ligatures w14:val="standardContextual"/>
            </w:rPr>
          </w:pPr>
          <w:hyperlink w:anchor="_Toc179277393" w:history="1">
            <w:r w:rsidRPr="00692F81">
              <w:rPr>
                <w:rStyle w:val="Lienhypertexte"/>
                <w:noProof/>
              </w:rPr>
              <w:t>2.3</w:t>
            </w:r>
            <w:r>
              <w:rPr>
                <w:rFonts w:eastAsiaTheme="minorEastAsia"/>
                <w:b w:val="0"/>
                <w:smallCaps w:val="0"/>
                <w:noProof/>
                <w:kern w:val="2"/>
                <w:sz w:val="24"/>
                <w:szCs w:val="24"/>
                <w14:ligatures w14:val="standardContextual"/>
              </w:rPr>
              <w:tab/>
            </w:r>
            <w:r w:rsidRPr="00692F81">
              <w:rPr>
                <w:rStyle w:val="Lienhypertexte"/>
                <w:noProof/>
              </w:rPr>
              <w:t>Profil énergie-air-climat</w:t>
            </w:r>
            <w:r>
              <w:rPr>
                <w:noProof/>
                <w:webHidden/>
              </w:rPr>
              <w:tab/>
            </w:r>
            <w:r>
              <w:rPr>
                <w:noProof/>
                <w:webHidden/>
              </w:rPr>
              <w:fldChar w:fldCharType="begin"/>
            </w:r>
            <w:r>
              <w:rPr>
                <w:noProof/>
                <w:webHidden/>
              </w:rPr>
              <w:instrText xml:space="preserve"> PAGEREF _Toc179277393 \h </w:instrText>
            </w:r>
            <w:r>
              <w:rPr>
                <w:noProof/>
                <w:webHidden/>
              </w:rPr>
            </w:r>
            <w:r>
              <w:rPr>
                <w:noProof/>
                <w:webHidden/>
              </w:rPr>
              <w:fldChar w:fldCharType="separate"/>
            </w:r>
            <w:r w:rsidR="007F7541">
              <w:rPr>
                <w:noProof/>
                <w:webHidden/>
              </w:rPr>
              <w:t>9</w:t>
            </w:r>
            <w:r>
              <w:rPr>
                <w:noProof/>
                <w:webHidden/>
              </w:rPr>
              <w:fldChar w:fldCharType="end"/>
            </w:r>
          </w:hyperlink>
        </w:p>
        <w:p w14:paraId="5BDBF2FF" w14:textId="21D20F82" w:rsidR="00666805" w:rsidRDefault="00666805">
          <w:pPr>
            <w:pStyle w:val="TM2"/>
            <w:rPr>
              <w:rStyle w:val="Lienhypertexte"/>
              <w:noProof/>
            </w:rPr>
          </w:pPr>
          <w:hyperlink w:anchor="_Toc179277394" w:history="1">
            <w:r w:rsidRPr="00692F81">
              <w:rPr>
                <w:rStyle w:val="Lienhypertexte"/>
                <w:noProof/>
              </w:rPr>
              <w:t>2.4</w:t>
            </w:r>
            <w:r>
              <w:rPr>
                <w:rFonts w:eastAsiaTheme="minorEastAsia"/>
                <w:b w:val="0"/>
                <w:smallCaps w:val="0"/>
                <w:noProof/>
                <w:kern w:val="2"/>
                <w:sz w:val="24"/>
                <w:szCs w:val="24"/>
                <w14:ligatures w14:val="standardContextual"/>
              </w:rPr>
              <w:tab/>
            </w:r>
            <w:r w:rsidRPr="00692F81">
              <w:rPr>
                <w:rStyle w:val="Lienhypertexte"/>
                <w:noProof/>
              </w:rPr>
              <w:t>Les risques pour le territoire</w:t>
            </w:r>
            <w:r>
              <w:rPr>
                <w:noProof/>
                <w:webHidden/>
              </w:rPr>
              <w:tab/>
            </w:r>
            <w:r>
              <w:rPr>
                <w:noProof/>
                <w:webHidden/>
              </w:rPr>
              <w:fldChar w:fldCharType="begin"/>
            </w:r>
            <w:r>
              <w:rPr>
                <w:noProof/>
                <w:webHidden/>
              </w:rPr>
              <w:instrText xml:space="preserve"> PAGEREF _Toc179277394 \h </w:instrText>
            </w:r>
            <w:r>
              <w:rPr>
                <w:noProof/>
                <w:webHidden/>
              </w:rPr>
            </w:r>
            <w:r>
              <w:rPr>
                <w:noProof/>
                <w:webHidden/>
              </w:rPr>
              <w:fldChar w:fldCharType="separate"/>
            </w:r>
            <w:r w:rsidR="007F7541">
              <w:rPr>
                <w:noProof/>
                <w:webHidden/>
              </w:rPr>
              <w:t>13</w:t>
            </w:r>
            <w:r>
              <w:rPr>
                <w:noProof/>
                <w:webHidden/>
              </w:rPr>
              <w:fldChar w:fldCharType="end"/>
            </w:r>
          </w:hyperlink>
        </w:p>
        <w:p w14:paraId="0901218F" w14:textId="77777777" w:rsidR="00B60814" w:rsidRPr="00B60814" w:rsidRDefault="00B60814" w:rsidP="00B60814"/>
        <w:p w14:paraId="200616F3" w14:textId="14DA97F5" w:rsidR="00666805" w:rsidRDefault="00666805">
          <w:pPr>
            <w:pStyle w:val="TM1"/>
            <w:rPr>
              <w:rFonts w:eastAsiaTheme="minorEastAsia" w:cstheme="minorBidi"/>
              <w:b w:val="0"/>
              <w:bCs w:val="0"/>
              <w:caps w:val="0"/>
              <w:noProof/>
              <w:kern w:val="2"/>
              <w:szCs w:val="24"/>
              <w14:ligatures w14:val="standardContextual"/>
            </w:rPr>
          </w:pPr>
          <w:hyperlink w:anchor="_Toc179277395" w:history="1">
            <w:r w:rsidRPr="00692F81">
              <w:rPr>
                <w:rStyle w:val="Lienhypertexte"/>
                <w:noProof/>
              </w:rPr>
              <w:t>3.</w:t>
            </w:r>
            <w:r>
              <w:rPr>
                <w:rFonts w:eastAsiaTheme="minorEastAsia" w:cstheme="minorBidi"/>
                <w:b w:val="0"/>
                <w:bCs w:val="0"/>
                <w:caps w:val="0"/>
                <w:noProof/>
                <w:kern w:val="2"/>
                <w:szCs w:val="24"/>
                <w14:ligatures w14:val="standardContextual"/>
              </w:rPr>
              <w:tab/>
            </w:r>
            <w:r w:rsidRPr="00692F81">
              <w:rPr>
                <w:rStyle w:val="Lienhypertexte"/>
                <w:noProof/>
              </w:rPr>
              <w:t>Articulation avec les autres plans et programmes</w:t>
            </w:r>
            <w:r>
              <w:rPr>
                <w:noProof/>
                <w:webHidden/>
              </w:rPr>
              <w:tab/>
            </w:r>
            <w:r>
              <w:rPr>
                <w:noProof/>
                <w:webHidden/>
              </w:rPr>
              <w:fldChar w:fldCharType="begin"/>
            </w:r>
            <w:r>
              <w:rPr>
                <w:noProof/>
                <w:webHidden/>
              </w:rPr>
              <w:instrText xml:space="preserve"> PAGEREF _Toc179277395 \h </w:instrText>
            </w:r>
            <w:r>
              <w:rPr>
                <w:noProof/>
                <w:webHidden/>
              </w:rPr>
            </w:r>
            <w:r>
              <w:rPr>
                <w:noProof/>
                <w:webHidden/>
              </w:rPr>
              <w:fldChar w:fldCharType="separate"/>
            </w:r>
            <w:r w:rsidR="007F7541">
              <w:rPr>
                <w:noProof/>
                <w:webHidden/>
              </w:rPr>
              <w:t>16</w:t>
            </w:r>
            <w:r>
              <w:rPr>
                <w:noProof/>
                <w:webHidden/>
              </w:rPr>
              <w:fldChar w:fldCharType="end"/>
            </w:r>
          </w:hyperlink>
        </w:p>
        <w:p w14:paraId="24AB3ADA" w14:textId="3C128F8C" w:rsidR="00666805" w:rsidRDefault="00666805">
          <w:pPr>
            <w:pStyle w:val="TM2"/>
            <w:rPr>
              <w:rFonts w:eastAsiaTheme="minorEastAsia"/>
              <w:b w:val="0"/>
              <w:smallCaps w:val="0"/>
              <w:noProof/>
              <w:kern w:val="2"/>
              <w:sz w:val="24"/>
              <w:szCs w:val="24"/>
              <w14:ligatures w14:val="standardContextual"/>
            </w:rPr>
          </w:pPr>
          <w:hyperlink w:anchor="_Toc179277396" w:history="1">
            <w:r w:rsidRPr="00692F81">
              <w:rPr>
                <w:rStyle w:val="Lienhypertexte"/>
                <w:noProof/>
              </w:rPr>
              <w:t>3.1</w:t>
            </w:r>
            <w:r>
              <w:rPr>
                <w:rFonts w:eastAsiaTheme="minorEastAsia"/>
                <w:b w:val="0"/>
                <w:smallCaps w:val="0"/>
                <w:noProof/>
                <w:kern w:val="2"/>
                <w:sz w:val="24"/>
                <w:szCs w:val="24"/>
                <w14:ligatures w14:val="standardContextual"/>
              </w:rPr>
              <w:tab/>
            </w:r>
            <w:r w:rsidRPr="00692F81">
              <w:rPr>
                <w:rStyle w:val="Lienhypertexte"/>
                <w:noProof/>
              </w:rPr>
              <w:t>L’articulation avec les documents cadres nationaux</w:t>
            </w:r>
            <w:r>
              <w:rPr>
                <w:noProof/>
                <w:webHidden/>
              </w:rPr>
              <w:tab/>
            </w:r>
            <w:r>
              <w:rPr>
                <w:noProof/>
                <w:webHidden/>
              </w:rPr>
              <w:fldChar w:fldCharType="begin"/>
            </w:r>
            <w:r>
              <w:rPr>
                <w:noProof/>
                <w:webHidden/>
              </w:rPr>
              <w:instrText xml:space="preserve"> PAGEREF _Toc179277396 \h </w:instrText>
            </w:r>
            <w:r>
              <w:rPr>
                <w:noProof/>
                <w:webHidden/>
              </w:rPr>
            </w:r>
            <w:r>
              <w:rPr>
                <w:noProof/>
                <w:webHidden/>
              </w:rPr>
              <w:fldChar w:fldCharType="separate"/>
            </w:r>
            <w:r w:rsidR="007F7541">
              <w:rPr>
                <w:noProof/>
                <w:webHidden/>
              </w:rPr>
              <w:t>16</w:t>
            </w:r>
            <w:r>
              <w:rPr>
                <w:noProof/>
                <w:webHidden/>
              </w:rPr>
              <w:fldChar w:fldCharType="end"/>
            </w:r>
          </w:hyperlink>
        </w:p>
        <w:p w14:paraId="57FD771D" w14:textId="081811D8" w:rsidR="00666805" w:rsidRDefault="00666805">
          <w:pPr>
            <w:pStyle w:val="TM3"/>
            <w:rPr>
              <w:rFonts w:eastAsiaTheme="minorEastAsia" w:cstheme="minorBidi"/>
              <w:smallCaps w:val="0"/>
              <w:noProof/>
              <w:kern w:val="2"/>
              <w:sz w:val="24"/>
              <w:szCs w:val="24"/>
              <w14:ligatures w14:val="standardContextual"/>
            </w:rPr>
          </w:pPr>
          <w:hyperlink w:anchor="_Toc179277397" w:history="1">
            <w:r w:rsidRPr="00692F81">
              <w:rPr>
                <w:rStyle w:val="Lienhypertexte"/>
                <w:noProof/>
              </w:rPr>
              <w:t>3.1.1</w:t>
            </w:r>
            <w:r>
              <w:rPr>
                <w:rFonts w:eastAsiaTheme="minorEastAsia" w:cstheme="minorBidi"/>
                <w:smallCaps w:val="0"/>
                <w:noProof/>
                <w:kern w:val="2"/>
                <w:sz w:val="24"/>
                <w:szCs w:val="24"/>
                <w14:ligatures w14:val="standardContextual"/>
              </w:rPr>
              <w:tab/>
            </w:r>
            <w:r w:rsidRPr="00692F81">
              <w:rPr>
                <w:rStyle w:val="Lienhypertexte"/>
                <w:noProof/>
              </w:rPr>
              <w:t>Rappel du cadre national</w:t>
            </w:r>
            <w:r>
              <w:rPr>
                <w:noProof/>
                <w:webHidden/>
              </w:rPr>
              <w:tab/>
            </w:r>
            <w:r>
              <w:rPr>
                <w:noProof/>
                <w:webHidden/>
              </w:rPr>
              <w:fldChar w:fldCharType="begin"/>
            </w:r>
            <w:r>
              <w:rPr>
                <w:noProof/>
                <w:webHidden/>
              </w:rPr>
              <w:instrText xml:space="preserve"> PAGEREF _Toc179277397 \h </w:instrText>
            </w:r>
            <w:r>
              <w:rPr>
                <w:noProof/>
                <w:webHidden/>
              </w:rPr>
            </w:r>
            <w:r>
              <w:rPr>
                <w:noProof/>
                <w:webHidden/>
              </w:rPr>
              <w:fldChar w:fldCharType="separate"/>
            </w:r>
            <w:r w:rsidR="007F7541">
              <w:rPr>
                <w:noProof/>
                <w:webHidden/>
              </w:rPr>
              <w:t>16</w:t>
            </w:r>
            <w:r>
              <w:rPr>
                <w:noProof/>
                <w:webHidden/>
              </w:rPr>
              <w:fldChar w:fldCharType="end"/>
            </w:r>
          </w:hyperlink>
        </w:p>
        <w:p w14:paraId="31CF7D09" w14:textId="7B884490" w:rsidR="00666805" w:rsidRDefault="00666805">
          <w:pPr>
            <w:pStyle w:val="TM3"/>
            <w:rPr>
              <w:rFonts w:eastAsiaTheme="minorEastAsia" w:cstheme="minorBidi"/>
              <w:smallCaps w:val="0"/>
              <w:noProof/>
              <w:kern w:val="2"/>
              <w:sz w:val="24"/>
              <w:szCs w:val="24"/>
              <w14:ligatures w14:val="standardContextual"/>
            </w:rPr>
          </w:pPr>
          <w:hyperlink w:anchor="_Toc179277398" w:history="1">
            <w:r w:rsidRPr="00692F81">
              <w:rPr>
                <w:rStyle w:val="Lienhypertexte"/>
                <w:noProof/>
              </w:rPr>
              <w:t>3.1.2</w:t>
            </w:r>
            <w:r>
              <w:rPr>
                <w:rFonts w:eastAsiaTheme="minorEastAsia" w:cstheme="minorBidi"/>
                <w:smallCaps w:val="0"/>
                <w:noProof/>
                <w:kern w:val="2"/>
                <w:sz w:val="24"/>
                <w:szCs w:val="24"/>
                <w14:ligatures w14:val="standardContextual"/>
              </w:rPr>
              <w:tab/>
            </w:r>
            <w:r w:rsidRPr="00692F81">
              <w:rPr>
                <w:rStyle w:val="Lienhypertexte"/>
                <w:noProof/>
              </w:rPr>
              <w:t>Déclinaison dans le PCAET</w:t>
            </w:r>
            <w:r>
              <w:rPr>
                <w:noProof/>
                <w:webHidden/>
              </w:rPr>
              <w:tab/>
            </w:r>
            <w:r>
              <w:rPr>
                <w:noProof/>
                <w:webHidden/>
              </w:rPr>
              <w:fldChar w:fldCharType="begin"/>
            </w:r>
            <w:r>
              <w:rPr>
                <w:noProof/>
                <w:webHidden/>
              </w:rPr>
              <w:instrText xml:space="preserve"> PAGEREF _Toc179277398 \h </w:instrText>
            </w:r>
            <w:r>
              <w:rPr>
                <w:noProof/>
                <w:webHidden/>
              </w:rPr>
            </w:r>
            <w:r>
              <w:rPr>
                <w:noProof/>
                <w:webHidden/>
              </w:rPr>
              <w:fldChar w:fldCharType="separate"/>
            </w:r>
            <w:r w:rsidR="007F7541">
              <w:rPr>
                <w:noProof/>
                <w:webHidden/>
              </w:rPr>
              <w:t>17</w:t>
            </w:r>
            <w:r>
              <w:rPr>
                <w:noProof/>
                <w:webHidden/>
              </w:rPr>
              <w:fldChar w:fldCharType="end"/>
            </w:r>
          </w:hyperlink>
        </w:p>
        <w:p w14:paraId="7FFC9284" w14:textId="6C164A7E" w:rsidR="00666805" w:rsidRDefault="00666805">
          <w:pPr>
            <w:pStyle w:val="TM2"/>
            <w:rPr>
              <w:rFonts w:eastAsiaTheme="minorEastAsia"/>
              <w:b w:val="0"/>
              <w:smallCaps w:val="0"/>
              <w:noProof/>
              <w:kern w:val="2"/>
              <w:sz w:val="24"/>
              <w:szCs w:val="24"/>
              <w14:ligatures w14:val="standardContextual"/>
            </w:rPr>
          </w:pPr>
          <w:hyperlink w:anchor="_Toc179277399" w:history="1">
            <w:r w:rsidRPr="00692F81">
              <w:rPr>
                <w:rStyle w:val="Lienhypertexte"/>
                <w:noProof/>
              </w:rPr>
              <w:t>3.2</w:t>
            </w:r>
            <w:r>
              <w:rPr>
                <w:rFonts w:eastAsiaTheme="minorEastAsia"/>
                <w:b w:val="0"/>
                <w:smallCaps w:val="0"/>
                <w:noProof/>
                <w:kern w:val="2"/>
                <w:sz w:val="24"/>
                <w:szCs w:val="24"/>
                <w14:ligatures w14:val="standardContextual"/>
              </w:rPr>
              <w:tab/>
            </w:r>
            <w:r w:rsidRPr="00692F81">
              <w:rPr>
                <w:rStyle w:val="Lienhypertexte"/>
                <w:noProof/>
              </w:rPr>
              <w:t>L’articulation avec les documents cadres régionaux</w:t>
            </w:r>
            <w:r>
              <w:rPr>
                <w:noProof/>
                <w:webHidden/>
              </w:rPr>
              <w:tab/>
            </w:r>
            <w:r>
              <w:rPr>
                <w:noProof/>
                <w:webHidden/>
              </w:rPr>
              <w:fldChar w:fldCharType="begin"/>
            </w:r>
            <w:r>
              <w:rPr>
                <w:noProof/>
                <w:webHidden/>
              </w:rPr>
              <w:instrText xml:space="preserve"> PAGEREF _Toc179277399 \h </w:instrText>
            </w:r>
            <w:r>
              <w:rPr>
                <w:noProof/>
                <w:webHidden/>
              </w:rPr>
            </w:r>
            <w:r>
              <w:rPr>
                <w:noProof/>
                <w:webHidden/>
              </w:rPr>
              <w:fldChar w:fldCharType="separate"/>
            </w:r>
            <w:r w:rsidR="007F7541">
              <w:rPr>
                <w:noProof/>
                <w:webHidden/>
              </w:rPr>
              <w:t>19</w:t>
            </w:r>
            <w:r>
              <w:rPr>
                <w:noProof/>
                <w:webHidden/>
              </w:rPr>
              <w:fldChar w:fldCharType="end"/>
            </w:r>
          </w:hyperlink>
        </w:p>
        <w:p w14:paraId="178DC066" w14:textId="3649E26E" w:rsidR="00666805" w:rsidRDefault="00666805">
          <w:pPr>
            <w:pStyle w:val="TM3"/>
            <w:rPr>
              <w:rFonts w:eastAsiaTheme="minorEastAsia" w:cstheme="minorBidi"/>
              <w:smallCaps w:val="0"/>
              <w:noProof/>
              <w:kern w:val="2"/>
              <w:sz w:val="24"/>
              <w:szCs w:val="24"/>
              <w14:ligatures w14:val="standardContextual"/>
            </w:rPr>
          </w:pPr>
          <w:hyperlink w:anchor="_Toc179277400" w:history="1">
            <w:r w:rsidRPr="00692F81">
              <w:rPr>
                <w:rStyle w:val="Lienhypertexte"/>
                <w:noProof/>
              </w:rPr>
              <w:t>3.2.1</w:t>
            </w:r>
            <w:r>
              <w:rPr>
                <w:rFonts w:eastAsiaTheme="minorEastAsia" w:cstheme="minorBidi"/>
                <w:smallCaps w:val="0"/>
                <w:noProof/>
                <w:kern w:val="2"/>
                <w:sz w:val="24"/>
                <w:szCs w:val="24"/>
                <w14:ligatures w14:val="standardContextual"/>
              </w:rPr>
              <w:tab/>
            </w:r>
            <w:r w:rsidRPr="00692F81">
              <w:rPr>
                <w:rStyle w:val="Lienhypertexte"/>
                <w:noProof/>
              </w:rPr>
              <w:t>Rappel du cadre régional</w:t>
            </w:r>
            <w:r>
              <w:rPr>
                <w:noProof/>
                <w:webHidden/>
              </w:rPr>
              <w:tab/>
            </w:r>
            <w:r>
              <w:rPr>
                <w:noProof/>
                <w:webHidden/>
              </w:rPr>
              <w:fldChar w:fldCharType="begin"/>
            </w:r>
            <w:r>
              <w:rPr>
                <w:noProof/>
                <w:webHidden/>
              </w:rPr>
              <w:instrText xml:space="preserve"> PAGEREF _Toc179277400 \h </w:instrText>
            </w:r>
            <w:r>
              <w:rPr>
                <w:noProof/>
                <w:webHidden/>
              </w:rPr>
            </w:r>
            <w:r>
              <w:rPr>
                <w:noProof/>
                <w:webHidden/>
              </w:rPr>
              <w:fldChar w:fldCharType="separate"/>
            </w:r>
            <w:r w:rsidR="007F7541">
              <w:rPr>
                <w:noProof/>
                <w:webHidden/>
              </w:rPr>
              <w:t>19</w:t>
            </w:r>
            <w:r>
              <w:rPr>
                <w:noProof/>
                <w:webHidden/>
              </w:rPr>
              <w:fldChar w:fldCharType="end"/>
            </w:r>
          </w:hyperlink>
        </w:p>
        <w:p w14:paraId="341AD901" w14:textId="1ABAECB9" w:rsidR="00666805" w:rsidRDefault="00666805">
          <w:pPr>
            <w:pStyle w:val="TM3"/>
            <w:rPr>
              <w:rFonts w:eastAsiaTheme="minorEastAsia" w:cstheme="minorBidi"/>
              <w:smallCaps w:val="0"/>
              <w:noProof/>
              <w:kern w:val="2"/>
              <w:sz w:val="24"/>
              <w:szCs w:val="24"/>
              <w14:ligatures w14:val="standardContextual"/>
            </w:rPr>
          </w:pPr>
          <w:hyperlink w:anchor="_Toc179277401" w:history="1">
            <w:r w:rsidRPr="00692F81">
              <w:rPr>
                <w:rStyle w:val="Lienhypertexte"/>
                <w:noProof/>
              </w:rPr>
              <w:t>3.2.2</w:t>
            </w:r>
            <w:r>
              <w:rPr>
                <w:rFonts w:eastAsiaTheme="minorEastAsia" w:cstheme="minorBidi"/>
                <w:smallCaps w:val="0"/>
                <w:noProof/>
                <w:kern w:val="2"/>
                <w:sz w:val="24"/>
                <w:szCs w:val="24"/>
                <w14:ligatures w14:val="standardContextual"/>
              </w:rPr>
              <w:tab/>
            </w:r>
            <w:r w:rsidRPr="00692F81">
              <w:rPr>
                <w:rStyle w:val="Lienhypertexte"/>
                <w:noProof/>
              </w:rPr>
              <w:t>Déclinaison dans le PCAET</w:t>
            </w:r>
            <w:r>
              <w:rPr>
                <w:noProof/>
                <w:webHidden/>
              </w:rPr>
              <w:tab/>
            </w:r>
            <w:r>
              <w:rPr>
                <w:noProof/>
                <w:webHidden/>
              </w:rPr>
              <w:fldChar w:fldCharType="begin"/>
            </w:r>
            <w:r>
              <w:rPr>
                <w:noProof/>
                <w:webHidden/>
              </w:rPr>
              <w:instrText xml:space="preserve"> PAGEREF _Toc179277401 \h </w:instrText>
            </w:r>
            <w:r>
              <w:rPr>
                <w:noProof/>
                <w:webHidden/>
              </w:rPr>
            </w:r>
            <w:r>
              <w:rPr>
                <w:noProof/>
                <w:webHidden/>
              </w:rPr>
              <w:fldChar w:fldCharType="separate"/>
            </w:r>
            <w:r w:rsidR="007F7541">
              <w:rPr>
                <w:noProof/>
                <w:webHidden/>
              </w:rPr>
              <w:t>19</w:t>
            </w:r>
            <w:r>
              <w:rPr>
                <w:noProof/>
                <w:webHidden/>
              </w:rPr>
              <w:fldChar w:fldCharType="end"/>
            </w:r>
          </w:hyperlink>
        </w:p>
        <w:p w14:paraId="0503CDF0" w14:textId="0BDA5C5C" w:rsidR="00666805" w:rsidRDefault="00666805">
          <w:pPr>
            <w:pStyle w:val="TM2"/>
            <w:rPr>
              <w:rFonts w:eastAsiaTheme="minorEastAsia"/>
              <w:b w:val="0"/>
              <w:smallCaps w:val="0"/>
              <w:noProof/>
              <w:kern w:val="2"/>
              <w:sz w:val="24"/>
              <w:szCs w:val="24"/>
              <w14:ligatures w14:val="standardContextual"/>
            </w:rPr>
          </w:pPr>
          <w:hyperlink w:anchor="_Toc179277402" w:history="1">
            <w:r w:rsidRPr="00692F81">
              <w:rPr>
                <w:rStyle w:val="Lienhypertexte"/>
                <w:noProof/>
              </w:rPr>
              <w:t>3.3</w:t>
            </w:r>
            <w:r>
              <w:rPr>
                <w:rFonts w:eastAsiaTheme="minorEastAsia"/>
                <w:b w:val="0"/>
                <w:smallCaps w:val="0"/>
                <w:noProof/>
                <w:kern w:val="2"/>
                <w:sz w:val="24"/>
                <w:szCs w:val="24"/>
                <w14:ligatures w14:val="standardContextual"/>
              </w:rPr>
              <w:tab/>
            </w:r>
            <w:r w:rsidRPr="00692F81">
              <w:rPr>
                <w:rStyle w:val="Lienhypertexte"/>
                <w:noProof/>
              </w:rPr>
              <w:t>L’articulation avec les autres documents de planification</w:t>
            </w:r>
            <w:r>
              <w:rPr>
                <w:noProof/>
                <w:webHidden/>
              </w:rPr>
              <w:tab/>
            </w:r>
            <w:r>
              <w:rPr>
                <w:noProof/>
                <w:webHidden/>
              </w:rPr>
              <w:fldChar w:fldCharType="begin"/>
            </w:r>
            <w:r>
              <w:rPr>
                <w:noProof/>
                <w:webHidden/>
              </w:rPr>
              <w:instrText xml:space="preserve"> PAGEREF _Toc179277402 \h </w:instrText>
            </w:r>
            <w:r>
              <w:rPr>
                <w:noProof/>
                <w:webHidden/>
              </w:rPr>
            </w:r>
            <w:r>
              <w:rPr>
                <w:noProof/>
                <w:webHidden/>
              </w:rPr>
              <w:fldChar w:fldCharType="separate"/>
            </w:r>
            <w:r w:rsidR="007F7541">
              <w:rPr>
                <w:noProof/>
                <w:webHidden/>
              </w:rPr>
              <w:t>20</w:t>
            </w:r>
            <w:r>
              <w:rPr>
                <w:noProof/>
                <w:webHidden/>
              </w:rPr>
              <w:fldChar w:fldCharType="end"/>
            </w:r>
          </w:hyperlink>
        </w:p>
        <w:p w14:paraId="7E002A1B" w14:textId="0A6F32E9" w:rsidR="00666805" w:rsidRDefault="00666805">
          <w:pPr>
            <w:pStyle w:val="TM3"/>
            <w:rPr>
              <w:rFonts w:eastAsiaTheme="minorEastAsia" w:cstheme="minorBidi"/>
              <w:smallCaps w:val="0"/>
              <w:noProof/>
              <w:kern w:val="2"/>
              <w:sz w:val="24"/>
              <w:szCs w:val="24"/>
              <w14:ligatures w14:val="standardContextual"/>
            </w:rPr>
          </w:pPr>
          <w:hyperlink w:anchor="_Toc179277403" w:history="1">
            <w:r w:rsidRPr="00692F81">
              <w:rPr>
                <w:rStyle w:val="Lienhypertexte"/>
                <w:noProof/>
              </w:rPr>
              <w:t>3.3.1</w:t>
            </w:r>
            <w:r>
              <w:rPr>
                <w:rFonts w:eastAsiaTheme="minorEastAsia" w:cstheme="minorBidi"/>
                <w:smallCaps w:val="0"/>
                <w:noProof/>
                <w:kern w:val="2"/>
                <w:sz w:val="24"/>
                <w:szCs w:val="24"/>
                <w14:ligatures w14:val="standardContextual"/>
              </w:rPr>
              <w:tab/>
            </w:r>
            <w:r w:rsidRPr="00692F81">
              <w:rPr>
                <w:rStyle w:val="Lienhypertexte"/>
                <w:noProof/>
              </w:rPr>
              <w:t>Déchets</w:t>
            </w:r>
            <w:r>
              <w:rPr>
                <w:noProof/>
                <w:webHidden/>
              </w:rPr>
              <w:tab/>
            </w:r>
            <w:r>
              <w:rPr>
                <w:noProof/>
                <w:webHidden/>
              </w:rPr>
              <w:fldChar w:fldCharType="begin"/>
            </w:r>
            <w:r>
              <w:rPr>
                <w:noProof/>
                <w:webHidden/>
              </w:rPr>
              <w:instrText xml:space="preserve"> PAGEREF _Toc179277403 \h </w:instrText>
            </w:r>
            <w:r>
              <w:rPr>
                <w:noProof/>
                <w:webHidden/>
              </w:rPr>
            </w:r>
            <w:r>
              <w:rPr>
                <w:noProof/>
                <w:webHidden/>
              </w:rPr>
              <w:fldChar w:fldCharType="separate"/>
            </w:r>
            <w:r w:rsidR="007F7541">
              <w:rPr>
                <w:noProof/>
                <w:webHidden/>
              </w:rPr>
              <w:t>20</w:t>
            </w:r>
            <w:r>
              <w:rPr>
                <w:noProof/>
                <w:webHidden/>
              </w:rPr>
              <w:fldChar w:fldCharType="end"/>
            </w:r>
          </w:hyperlink>
        </w:p>
        <w:p w14:paraId="675C374E" w14:textId="26406575" w:rsidR="00666805" w:rsidRDefault="00666805">
          <w:pPr>
            <w:pStyle w:val="TM3"/>
            <w:rPr>
              <w:rFonts w:eastAsiaTheme="minorEastAsia" w:cstheme="minorBidi"/>
              <w:smallCaps w:val="0"/>
              <w:noProof/>
              <w:kern w:val="2"/>
              <w:sz w:val="24"/>
              <w:szCs w:val="24"/>
              <w14:ligatures w14:val="standardContextual"/>
            </w:rPr>
          </w:pPr>
          <w:hyperlink w:anchor="_Toc179277404" w:history="1">
            <w:r w:rsidRPr="00692F81">
              <w:rPr>
                <w:rStyle w:val="Lienhypertexte"/>
                <w:noProof/>
              </w:rPr>
              <w:t>3.3.2</w:t>
            </w:r>
            <w:r>
              <w:rPr>
                <w:rFonts w:eastAsiaTheme="minorEastAsia" w:cstheme="minorBidi"/>
                <w:smallCaps w:val="0"/>
                <w:noProof/>
                <w:kern w:val="2"/>
                <w:sz w:val="24"/>
                <w:szCs w:val="24"/>
                <w14:ligatures w14:val="standardContextual"/>
              </w:rPr>
              <w:tab/>
            </w:r>
            <w:r w:rsidRPr="00692F81">
              <w:rPr>
                <w:rStyle w:val="Lienhypertexte"/>
                <w:noProof/>
              </w:rPr>
              <w:t>Eau</w:t>
            </w:r>
            <w:r>
              <w:rPr>
                <w:noProof/>
                <w:webHidden/>
              </w:rPr>
              <w:tab/>
            </w:r>
            <w:r>
              <w:rPr>
                <w:noProof/>
                <w:webHidden/>
              </w:rPr>
              <w:fldChar w:fldCharType="begin"/>
            </w:r>
            <w:r>
              <w:rPr>
                <w:noProof/>
                <w:webHidden/>
              </w:rPr>
              <w:instrText xml:space="preserve"> PAGEREF _Toc179277404 \h </w:instrText>
            </w:r>
            <w:r>
              <w:rPr>
                <w:noProof/>
                <w:webHidden/>
              </w:rPr>
            </w:r>
            <w:r>
              <w:rPr>
                <w:noProof/>
                <w:webHidden/>
              </w:rPr>
              <w:fldChar w:fldCharType="separate"/>
            </w:r>
            <w:r w:rsidR="007F7541">
              <w:rPr>
                <w:noProof/>
                <w:webHidden/>
              </w:rPr>
              <w:t>20</w:t>
            </w:r>
            <w:r>
              <w:rPr>
                <w:noProof/>
                <w:webHidden/>
              </w:rPr>
              <w:fldChar w:fldCharType="end"/>
            </w:r>
          </w:hyperlink>
        </w:p>
        <w:p w14:paraId="57C2A1F2" w14:textId="64D01426" w:rsidR="00666805" w:rsidRDefault="00666805">
          <w:pPr>
            <w:pStyle w:val="TM3"/>
            <w:rPr>
              <w:rFonts w:eastAsiaTheme="minorEastAsia" w:cstheme="minorBidi"/>
              <w:smallCaps w:val="0"/>
              <w:noProof/>
              <w:kern w:val="2"/>
              <w:sz w:val="24"/>
              <w:szCs w:val="24"/>
              <w14:ligatures w14:val="standardContextual"/>
            </w:rPr>
          </w:pPr>
          <w:hyperlink w:anchor="_Toc179277405" w:history="1">
            <w:r w:rsidRPr="00692F81">
              <w:rPr>
                <w:rStyle w:val="Lienhypertexte"/>
                <w:noProof/>
              </w:rPr>
              <w:t>3.3.3</w:t>
            </w:r>
            <w:r>
              <w:rPr>
                <w:rFonts w:eastAsiaTheme="minorEastAsia" w:cstheme="minorBidi"/>
                <w:smallCaps w:val="0"/>
                <w:noProof/>
                <w:kern w:val="2"/>
                <w:sz w:val="24"/>
                <w:szCs w:val="24"/>
                <w14:ligatures w14:val="standardContextual"/>
              </w:rPr>
              <w:tab/>
            </w:r>
            <w:r w:rsidRPr="00692F81">
              <w:rPr>
                <w:rStyle w:val="Lienhypertexte"/>
                <w:noProof/>
              </w:rPr>
              <w:t>Environnement / biodiversité</w:t>
            </w:r>
            <w:r>
              <w:rPr>
                <w:noProof/>
                <w:webHidden/>
              </w:rPr>
              <w:tab/>
            </w:r>
            <w:r>
              <w:rPr>
                <w:noProof/>
                <w:webHidden/>
              </w:rPr>
              <w:fldChar w:fldCharType="begin"/>
            </w:r>
            <w:r>
              <w:rPr>
                <w:noProof/>
                <w:webHidden/>
              </w:rPr>
              <w:instrText xml:space="preserve"> PAGEREF _Toc179277405 \h </w:instrText>
            </w:r>
            <w:r>
              <w:rPr>
                <w:noProof/>
                <w:webHidden/>
              </w:rPr>
            </w:r>
            <w:r>
              <w:rPr>
                <w:noProof/>
                <w:webHidden/>
              </w:rPr>
              <w:fldChar w:fldCharType="separate"/>
            </w:r>
            <w:r w:rsidR="007F7541">
              <w:rPr>
                <w:noProof/>
                <w:webHidden/>
              </w:rPr>
              <w:t>20</w:t>
            </w:r>
            <w:r>
              <w:rPr>
                <w:noProof/>
                <w:webHidden/>
              </w:rPr>
              <w:fldChar w:fldCharType="end"/>
            </w:r>
          </w:hyperlink>
        </w:p>
        <w:p w14:paraId="60CBAF5B" w14:textId="66CF7A45" w:rsidR="00666805" w:rsidRDefault="00666805">
          <w:pPr>
            <w:pStyle w:val="TM3"/>
            <w:rPr>
              <w:rFonts w:eastAsiaTheme="minorEastAsia" w:cstheme="minorBidi"/>
              <w:smallCaps w:val="0"/>
              <w:noProof/>
              <w:kern w:val="2"/>
              <w:sz w:val="24"/>
              <w:szCs w:val="24"/>
              <w14:ligatures w14:val="standardContextual"/>
            </w:rPr>
          </w:pPr>
          <w:hyperlink w:anchor="_Toc179277406" w:history="1">
            <w:r w:rsidRPr="00692F81">
              <w:rPr>
                <w:rStyle w:val="Lienhypertexte"/>
                <w:noProof/>
              </w:rPr>
              <w:t>3.3.4</w:t>
            </w:r>
            <w:r>
              <w:rPr>
                <w:rFonts w:eastAsiaTheme="minorEastAsia" w:cstheme="minorBidi"/>
                <w:smallCaps w:val="0"/>
                <w:noProof/>
                <w:kern w:val="2"/>
                <w:sz w:val="24"/>
                <w:szCs w:val="24"/>
                <w14:ligatures w14:val="standardContextual"/>
              </w:rPr>
              <w:tab/>
            </w:r>
            <w:r w:rsidRPr="00692F81">
              <w:rPr>
                <w:rStyle w:val="Lienhypertexte"/>
                <w:noProof/>
              </w:rPr>
              <w:t>Développement économique</w:t>
            </w:r>
            <w:r>
              <w:rPr>
                <w:noProof/>
                <w:webHidden/>
              </w:rPr>
              <w:tab/>
            </w:r>
            <w:r>
              <w:rPr>
                <w:noProof/>
                <w:webHidden/>
              </w:rPr>
              <w:fldChar w:fldCharType="begin"/>
            </w:r>
            <w:r>
              <w:rPr>
                <w:noProof/>
                <w:webHidden/>
              </w:rPr>
              <w:instrText xml:space="preserve"> PAGEREF _Toc179277406 \h </w:instrText>
            </w:r>
            <w:r>
              <w:rPr>
                <w:noProof/>
                <w:webHidden/>
              </w:rPr>
            </w:r>
            <w:r>
              <w:rPr>
                <w:noProof/>
                <w:webHidden/>
              </w:rPr>
              <w:fldChar w:fldCharType="separate"/>
            </w:r>
            <w:r w:rsidR="007F7541">
              <w:rPr>
                <w:noProof/>
                <w:webHidden/>
              </w:rPr>
              <w:t>21</w:t>
            </w:r>
            <w:r>
              <w:rPr>
                <w:noProof/>
                <w:webHidden/>
              </w:rPr>
              <w:fldChar w:fldCharType="end"/>
            </w:r>
          </w:hyperlink>
        </w:p>
        <w:p w14:paraId="01132C3A" w14:textId="54523ACD" w:rsidR="00666805" w:rsidRDefault="00666805">
          <w:pPr>
            <w:pStyle w:val="TM3"/>
            <w:rPr>
              <w:rFonts w:eastAsiaTheme="minorEastAsia" w:cstheme="minorBidi"/>
              <w:smallCaps w:val="0"/>
              <w:noProof/>
              <w:kern w:val="2"/>
              <w:sz w:val="24"/>
              <w:szCs w:val="24"/>
              <w14:ligatures w14:val="standardContextual"/>
            </w:rPr>
          </w:pPr>
          <w:hyperlink w:anchor="_Toc179277407" w:history="1">
            <w:r w:rsidRPr="00692F81">
              <w:rPr>
                <w:rStyle w:val="Lienhypertexte"/>
                <w:noProof/>
              </w:rPr>
              <w:t>3.3.5</w:t>
            </w:r>
            <w:r>
              <w:rPr>
                <w:rFonts w:eastAsiaTheme="minorEastAsia" w:cstheme="minorBidi"/>
                <w:smallCaps w:val="0"/>
                <w:noProof/>
                <w:kern w:val="2"/>
                <w:sz w:val="24"/>
                <w:szCs w:val="24"/>
                <w14:ligatures w14:val="standardContextual"/>
              </w:rPr>
              <w:tab/>
            </w:r>
            <w:r w:rsidRPr="00692F81">
              <w:rPr>
                <w:rStyle w:val="Lienhypertexte"/>
                <w:noProof/>
              </w:rPr>
              <w:t>Santé</w:t>
            </w:r>
            <w:r>
              <w:rPr>
                <w:noProof/>
                <w:webHidden/>
              </w:rPr>
              <w:tab/>
            </w:r>
            <w:r>
              <w:rPr>
                <w:noProof/>
                <w:webHidden/>
              </w:rPr>
              <w:fldChar w:fldCharType="begin"/>
            </w:r>
            <w:r>
              <w:rPr>
                <w:noProof/>
                <w:webHidden/>
              </w:rPr>
              <w:instrText xml:space="preserve"> PAGEREF _Toc179277407 \h </w:instrText>
            </w:r>
            <w:r>
              <w:rPr>
                <w:noProof/>
                <w:webHidden/>
              </w:rPr>
            </w:r>
            <w:r>
              <w:rPr>
                <w:noProof/>
                <w:webHidden/>
              </w:rPr>
              <w:fldChar w:fldCharType="separate"/>
            </w:r>
            <w:r w:rsidR="007F7541">
              <w:rPr>
                <w:noProof/>
                <w:webHidden/>
              </w:rPr>
              <w:t>21</w:t>
            </w:r>
            <w:r>
              <w:rPr>
                <w:noProof/>
                <w:webHidden/>
              </w:rPr>
              <w:fldChar w:fldCharType="end"/>
            </w:r>
          </w:hyperlink>
        </w:p>
        <w:p w14:paraId="57944B57" w14:textId="200BCD78" w:rsidR="00666805" w:rsidRDefault="00666805">
          <w:pPr>
            <w:pStyle w:val="TM3"/>
            <w:rPr>
              <w:rFonts w:eastAsiaTheme="minorEastAsia" w:cstheme="minorBidi"/>
              <w:smallCaps w:val="0"/>
              <w:noProof/>
              <w:kern w:val="2"/>
              <w:sz w:val="24"/>
              <w:szCs w:val="24"/>
              <w14:ligatures w14:val="standardContextual"/>
            </w:rPr>
          </w:pPr>
          <w:hyperlink w:anchor="_Toc179277408" w:history="1">
            <w:r w:rsidRPr="00692F81">
              <w:rPr>
                <w:rStyle w:val="Lienhypertexte"/>
                <w:noProof/>
              </w:rPr>
              <w:t>3.3.6</w:t>
            </w:r>
            <w:r>
              <w:rPr>
                <w:rFonts w:eastAsiaTheme="minorEastAsia" w:cstheme="minorBidi"/>
                <w:smallCaps w:val="0"/>
                <w:noProof/>
                <w:kern w:val="2"/>
                <w:sz w:val="24"/>
                <w:szCs w:val="24"/>
                <w14:ligatures w14:val="standardContextual"/>
              </w:rPr>
              <w:tab/>
            </w:r>
            <w:r w:rsidRPr="00692F81">
              <w:rPr>
                <w:rStyle w:val="Lienhypertexte"/>
                <w:noProof/>
              </w:rPr>
              <w:t>Réseaux</w:t>
            </w:r>
            <w:r>
              <w:rPr>
                <w:noProof/>
                <w:webHidden/>
              </w:rPr>
              <w:tab/>
            </w:r>
            <w:r>
              <w:rPr>
                <w:noProof/>
                <w:webHidden/>
              </w:rPr>
              <w:fldChar w:fldCharType="begin"/>
            </w:r>
            <w:r>
              <w:rPr>
                <w:noProof/>
                <w:webHidden/>
              </w:rPr>
              <w:instrText xml:space="preserve"> PAGEREF _Toc179277408 \h </w:instrText>
            </w:r>
            <w:r>
              <w:rPr>
                <w:noProof/>
                <w:webHidden/>
              </w:rPr>
            </w:r>
            <w:r>
              <w:rPr>
                <w:noProof/>
                <w:webHidden/>
              </w:rPr>
              <w:fldChar w:fldCharType="separate"/>
            </w:r>
            <w:r w:rsidR="007F7541">
              <w:rPr>
                <w:noProof/>
                <w:webHidden/>
              </w:rPr>
              <w:t>21</w:t>
            </w:r>
            <w:r>
              <w:rPr>
                <w:noProof/>
                <w:webHidden/>
              </w:rPr>
              <w:fldChar w:fldCharType="end"/>
            </w:r>
          </w:hyperlink>
        </w:p>
        <w:p w14:paraId="6F1B3121" w14:textId="5B01D034" w:rsidR="00666805" w:rsidRDefault="00666805">
          <w:pPr>
            <w:pStyle w:val="TM2"/>
            <w:rPr>
              <w:rStyle w:val="Lienhypertexte"/>
              <w:noProof/>
            </w:rPr>
          </w:pPr>
          <w:hyperlink w:anchor="_Toc179277409" w:history="1">
            <w:r w:rsidRPr="00692F81">
              <w:rPr>
                <w:rStyle w:val="Lienhypertexte"/>
                <w:noProof/>
              </w:rPr>
              <w:t>3.4</w:t>
            </w:r>
            <w:r>
              <w:rPr>
                <w:rFonts w:eastAsiaTheme="minorEastAsia"/>
                <w:b w:val="0"/>
                <w:smallCaps w:val="0"/>
                <w:noProof/>
                <w:kern w:val="2"/>
                <w:sz w:val="24"/>
                <w:szCs w:val="24"/>
                <w14:ligatures w14:val="standardContextual"/>
              </w:rPr>
              <w:tab/>
            </w:r>
            <w:r w:rsidRPr="00692F81">
              <w:rPr>
                <w:rStyle w:val="Lienhypertexte"/>
                <w:noProof/>
              </w:rPr>
              <w:t>Les documents de rang inférieur qui doivent prendre en compte le PCAET</w:t>
            </w:r>
            <w:r>
              <w:rPr>
                <w:noProof/>
                <w:webHidden/>
              </w:rPr>
              <w:tab/>
            </w:r>
            <w:r>
              <w:rPr>
                <w:noProof/>
                <w:webHidden/>
              </w:rPr>
              <w:fldChar w:fldCharType="begin"/>
            </w:r>
            <w:r>
              <w:rPr>
                <w:noProof/>
                <w:webHidden/>
              </w:rPr>
              <w:instrText xml:space="preserve"> PAGEREF _Toc179277409 \h </w:instrText>
            </w:r>
            <w:r>
              <w:rPr>
                <w:noProof/>
                <w:webHidden/>
              </w:rPr>
            </w:r>
            <w:r>
              <w:rPr>
                <w:noProof/>
                <w:webHidden/>
              </w:rPr>
              <w:fldChar w:fldCharType="separate"/>
            </w:r>
            <w:r w:rsidR="007F7541">
              <w:rPr>
                <w:noProof/>
                <w:webHidden/>
              </w:rPr>
              <w:t>21</w:t>
            </w:r>
            <w:r>
              <w:rPr>
                <w:noProof/>
                <w:webHidden/>
              </w:rPr>
              <w:fldChar w:fldCharType="end"/>
            </w:r>
          </w:hyperlink>
        </w:p>
        <w:p w14:paraId="0E35E6F0" w14:textId="77777777" w:rsidR="00B60814" w:rsidRPr="00B60814" w:rsidRDefault="00B60814" w:rsidP="00B60814"/>
        <w:p w14:paraId="0138B335" w14:textId="7DD731C6" w:rsidR="00666805" w:rsidRDefault="00666805">
          <w:pPr>
            <w:pStyle w:val="TM1"/>
            <w:rPr>
              <w:rFonts w:eastAsiaTheme="minorEastAsia" w:cstheme="minorBidi"/>
              <w:b w:val="0"/>
              <w:bCs w:val="0"/>
              <w:caps w:val="0"/>
              <w:noProof/>
              <w:kern w:val="2"/>
              <w:szCs w:val="24"/>
              <w14:ligatures w14:val="standardContextual"/>
            </w:rPr>
          </w:pPr>
          <w:hyperlink w:anchor="_Toc179277410" w:history="1">
            <w:r w:rsidRPr="00692F81">
              <w:rPr>
                <w:rStyle w:val="Lienhypertexte"/>
                <w:noProof/>
              </w:rPr>
              <w:t>4.</w:t>
            </w:r>
            <w:r>
              <w:rPr>
                <w:rFonts w:eastAsiaTheme="minorEastAsia" w:cstheme="minorBidi"/>
                <w:b w:val="0"/>
                <w:bCs w:val="0"/>
                <w:caps w:val="0"/>
                <w:noProof/>
                <w:kern w:val="2"/>
                <w:szCs w:val="24"/>
                <w14:ligatures w14:val="standardContextual"/>
              </w:rPr>
              <w:tab/>
            </w:r>
            <w:r w:rsidRPr="00692F81">
              <w:rPr>
                <w:rStyle w:val="Lienhypertexte"/>
                <w:noProof/>
              </w:rPr>
              <w:t>Evaluation des effets du PCAET sur l’environnement</w:t>
            </w:r>
            <w:r>
              <w:rPr>
                <w:noProof/>
                <w:webHidden/>
              </w:rPr>
              <w:tab/>
            </w:r>
            <w:r>
              <w:rPr>
                <w:noProof/>
                <w:webHidden/>
              </w:rPr>
              <w:fldChar w:fldCharType="begin"/>
            </w:r>
            <w:r>
              <w:rPr>
                <w:noProof/>
                <w:webHidden/>
              </w:rPr>
              <w:instrText xml:space="preserve"> PAGEREF _Toc179277410 \h </w:instrText>
            </w:r>
            <w:r>
              <w:rPr>
                <w:noProof/>
                <w:webHidden/>
              </w:rPr>
            </w:r>
            <w:r>
              <w:rPr>
                <w:noProof/>
                <w:webHidden/>
              </w:rPr>
              <w:fldChar w:fldCharType="separate"/>
            </w:r>
            <w:r w:rsidR="007F7541">
              <w:rPr>
                <w:noProof/>
                <w:webHidden/>
              </w:rPr>
              <w:t>22</w:t>
            </w:r>
            <w:r>
              <w:rPr>
                <w:noProof/>
                <w:webHidden/>
              </w:rPr>
              <w:fldChar w:fldCharType="end"/>
            </w:r>
          </w:hyperlink>
        </w:p>
        <w:p w14:paraId="773FA13D" w14:textId="0A3FEA7C" w:rsidR="00666805" w:rsidRDefault="00666805">
          <w:pPr>
            <w:pStyle w:val="TM2"/>
            <w:rPr>
              <w:rFonts w:eastAsiaTheme="minorEastAsia"/>
              <w:b w:val="0"/>
              <w:smallCaps w:val="0"/>
              <w:noProof/>
              <w:kern w:val="2"/>
              <w:sz w:val="24"/>
              <w:szCs w:val="24"/>
              <w14:ligatures w14:val="standardContextual"/>
            </w:rPr>
          </w:pPr>
          <w:hyperlink w:anchor="_Toc179277411" w:history="1">
            <w:r w:rsidRPr="00692F81">
              <w:rPr>
                <w:rStyle w:val="Lienhypertexte"/>
                <w:noProof/>
              </w:rPr>
              <w:t>4.1</w:t>
            </w:r>
            <w:r>
              <w:rPr>
                <w:rFonts w:eastAsiaTheme="minorEastAsia"/>
                <w:b w:val="0"/>
                <w:smallCaps w:val="0"/>
                <w:noProof/>
                <w:kern w:val="2"/>
                <w:sz w:val="24"/>
                <w:szCs w:val="24"/>
                <w14:ligatures w14:val="standardContextual"/>
              </w:rPr>
              <w:tab/>
            </w:r>
            <w:r w:rsidRPr="00692F81">
              <w:rPr>
                <w:rStyle w:val="Lienhypertexte"/>
                <w:noProof/>
              </w:rPr>
              <w:t>Analyse des incidences environnementales de la stratégie</w:t>
            </w:r>
            <w:r>
              <w:rPr>
                <w:noProof/>
                <w:webHidden/>
              </w:rPr>
              <w:tab/>
            </w:r>
            <w:r>
              <w:rPr>
                <w:noProof/>
                <w:webHidden/>
              </w:rPr>
              <w:fldChar w:fldCharType="begin"/>
            </w:r>
            <w:r>
              <w:rPr>
                <w:noProof/>
                <w:webHidden/>
              </w:rPr>
              <w:instrText xml:space="preserve"> PAGEREF _Toc179277411 \h </w:instrText>
            </w:r>
            <w:r>
              <w:rPr>
                <w:noProof/>
                <w:webHidden/>
              </w:rPr>
            </w:r>
            <w:r>
              <w:rPr>
                <w:noProof/>
                <w:webHidden/>
              </w:rPr>
              <w:fldChar w:fldCharType="separate"/>
            </w:r>
            <w:r w:rsidR="007F7541">
              <w:rPr>
                <w:noProof/>
                <w:webHidden/>
              </w:rPr>
              <w:t>22</w:t>
            </w:r>
            <w:r>
              <w:rPr>
                <w:noProof/>
                <w:webHidden/>
              </w:rPr>
              <w:fldChar w:fldCharType="end"/>
            </w:r>
          </w:hyperlink>
        </w:p>
        <w:p w14:paraId="5F1988B6" w14:textId="69F4014F" w:rsidR="00666805" w:rsidRDefault="00666805">
          <w:pPr>
            <w:pStyle w:val="TM3"/>
            <w:rPr>
              <w:rFonts w:eastAsiaTheme="minorEastAsia" w:cstheme="minorBidi"/>
              <w:smallCaps w:val="0"/>
              <w:noProof/>
              <w:kern w:val="2"/>
              <w:sz w:val="24"/>
              <w:szCs w:val="24"/>
              <w14:ligatures w14:val="standardContextual"/>
            </w:rPr>
          </w:pPr>
          <w:hyperlink w:anchor="_Toc179277412" w:history="1">
            <w:r w:rsidRPr="00692F81">
              <w:rPr>
                <w:rStyle w:val="Lienhypertexte"/>
                <w:noProof/>
              </w:rPr>
              <w:t>4.1.1</w:t>
            </w:r>
            <w:r>
              <w:rPr>
                <w:rFonts w:eastAsiaTheme="minorEastAsia" w:cstheme="minorBidi"/>
                <w:smallCaps w:val="0"/>
                <w:noProof/>
                <w:kern w:val="2"/>
                <w:sz w:val="24"/>
                <w:szCs w:val="24"/>
                <w14:ligatures w14:val="standardContextual"/>
              </w:rPr>
              <w:tab/>
            </w:r>
            <w:r w:rsidRPr="00692F81">
              <w:rPr>
                <w:rStyle w:val="Lienhypertexte"/>
                <w:noProof/>
              </w:rPr>
              <w:t>Présentation des deux scénarios</w:t>
            </w:r>
            <w:r>
              <w:rPr>
                <w:noProof/>
                <w:webHidden/>
              </w:rPr>
              <w:tab/>
            </w:r>
            <w:r>
              <w:rPr>
                <w:noProof/>
                <w:webHidden/>
              </w:rPr>
              <w:fldChar w:fldCharType="begin"/>
            </w:r>
            <w:r>
              <w:rPr>
                <w:noProof/>
                <w:webHidden/>
              </w:rPr>
              <w:instrText xml:space="preserve"> PAGEREF _Toc179277412 \h </w:instrText>
            </w:r>
            <w:r>
              <w:rPr>
                <w:noProof/>
                <w:webHidden/>
              </w:rPr>
            </w:r>
            <w:r>
              <w:rPr>
                <w:noProof/>
                <w:webHidden/>
              </w:rPr>
              <w:fldChar w:fldCharType="separate"/>
            </w:r>
            <w:r w:rsidR="007F7541">
              <w:rPr>
                <w:noProof/>
                <w:webHidden/>
              </w:rPr>
              <w:t>22</w:t>
            </w:r>
            <w:r>
              <w:rPr>
                <w:noProof/>
                <w:webHidden/>
              </w:rPr>
              <w:fldChar w:fldCharType="end"/>
            </w:r>
          </w:hyperlink>
        </w:p>
        <w:p w14:paraId="719E948B" w14:textId="35AFE916" w:rsidR="00666805" w:rsidRDefault="00666805">
          <w:pPr>
            <w:pStyle w:val="TM3"/>
            <w:rPr>
              <w:rFonts w:eastAsiaTheme="minorEastAsia" w:cstheme="minorBidi"/>
              <w:smallCaps w:val="0"/>
              <w:noProof/>
              <w:kern w:val="2"/>
              <w:sz w:val="24"/>
              <w:szCs w:val="24"/>
              <w14:ligatures w14:val="standardContextual"/>
            </w:rPr>
          </w:pPr>
          <w:hyperlink w:anchor="_Toc179277413" w:history="1">
            <w:r w:rsidRPr="00692F81">
              <w:rPr>
                <w:rStyle w:val="Lienhypertexte"/>
                <w:noProof/>
              </w:rPr>
              <w:t>4.1.2</w:t>
            </w:r>
            <w:r>
              <w:rPr>
                <w:rFonts w:eastAsiaTheme="minorEastAsia" w:cstheme="minorBidi"/>
                <w:smallCaps w:val="0"/>
                <w:noProof/>
                <w:kern w:val="2"/>
                <w:sz w:val="24"/>
                <w:szCs w:val="24"/>
                <w14:ligatures w14:val="standardContextual"/>
              </w:rPr>
              <w:tab/>
            </w:r>
            <w:r w:rsidRPr="00692F81">
              <w:rPr>
                <w:rStyle w:val="Lienhypertexte"/>
                <w:noProof/>
              </w:rPr>
              <w:t>Analyse des incidences des scénarios et recommandations</w:t>
            </w:r>
            <w:r>
              <w:rPr>
                <w:noProof/>
                <w:webHidden/>
              </w:rPr>
              <w:tab/>
            </w:r>
            <w:r>
              <w:rPr>
                <w:noProof/>
                <w:webHidden/>
              </w:rPr>
              <w:fldChar w:fldCharType="begin"/>
            </w:r>
            <w:r>
              <w:rPr>
                <w:noProof/>
                <w:webHidden/>
              </w:rPr>
              <w:instrText xml:space="preserve"> PAGEREF _Toc179277413 \h </w:instrText>
            </w:r>
            <w:r>
              <w:rPr>
                <w:noProof/>
                <w:webHidden/>
              </w:rPr>
            </w:r>
            <w:r>
              <w:rPr>
                <w:noProof/>
                <w:webHidden/>
              </w:rPr>
              <w:fldChar w:fldCharType="separate"/>
            </w:r>
            <w:r w:rsidR="007F7541">
              <w:rPr>
                <w:noProof/>
                <w:webHidden/>
              </w:rPr>
              <w:t>23</w:t>
            </w:r>
            <w:r>
              <w:rPr>
                <w:noProof/>
                <w:webHidden/>
              </w:rPr>
              <w:fldChar w:fldCharType="end"/>
            </w:r>
          </w:hyperlink>
        </w:p>
        <w:p w14:paraId="6BB57DF2" w14:textId="2EEDEA1E" w:rsidR="00666805" w:rsidRDefault="00666805">
          <w:pPr>
            <w:pStyle w:val="TM2"/>
            <w:rPr>
              <w:rStyle w:val="Lienhypertexte"/>
              <w:noProof/>
            </w:rPr>
          </w:pPr>
          <w:hyperlink w:anchor="_Toc179277414" w:history="1">
            <w:r w:rsidRPr="00692F81">
              <w:rPr>
                <w:rStyle w:val="Lienhypertexte"/>
                <w:noProof/>
              </w:rPr>
              <w:t>4.2</w:t>
            </w:r>
            <w:r>
              <w:rPr>
                <w:rFonts w:eastAsiaTheme="minorEastAsia"/>
                <w:b w:val="0"/>
                <w:smallCaps w:val="0"/>
                <w:noProof/>
                <w:kern w:val="2"/>
                <w:sz w:val="24"/>
                <w:szCs w:val="24"/>
                <w14:ligatures w14:val="standardContextual"/>
              </w:rPr>
              <w:tab/>
            </w:r>
            <w:r w:rsidRPr="00692F81">
              <w:rPr>
                <w:rStyle w:val="Lienhypertexte"/>
                <w:noProof/>
              </w:rPr>
              <w:t>Analyse des incidences environnementales du programme d’actions</w:t>
            </w:r>
            <w:r>
              <w:rPr>
                <w:noProof/>
                <w:webHidden/>
              </w:rPr>
              <w:tab/>
            </w:r>
            <w:r>
              <w:rPr>
                <w:noProof/>
                <w:webHidden/>
              </w:rPr>
              <w:fldChar w:fldCharType="begin"/>
            </w:r>
            <w:r>
              <w:rPr>
                <w:noProof/>
                <w:webHidden/>
              </w:rPr>
              <w:instrText xml:space="preserve"> PAGEREF _Toc179277414 \h </w:instrText>
            </w:r>
            <w:r>
              <w:rPr>
                <w:noProof/>
                <w:webHidden/>
              </w:rPr>
            </w:r>
            <w:r>
              <w:rPr>
                <w:noProof/>
                <w:webHidden/>
              </w:rPr>
              <w:fldChar w:fldCharType="separate"/>
            </w:r>
            <w:r w:rsidR="007F7541">
              <w:rPr>
                <w:noProof/>
                <w:webHidden/>
              </w:rPr>
              <w:t>29</w:t>
            </w:r>
            <w:r>
              <w:rPr>
                <w:noProof/>
                <w:webHidden/>
              </w:rPr>
              <w:fldChar w:fldCharType="end"/>
            </w:r>
          </w:hyperlink>
        </w:p>
        <w:p w14:paraId="409A55AA" w14:textId="77777777" w:rsidR="00B60814" w:rsidRPr="00B60814" w:rsidRDefault="00B60814" w:rsidP="00B60814"/>
        <w:p w14:paraId="2CADAB05" w14:textId="16B3463E" w:rsidR="00666805" w:rsidRDefault="00666805">
          <w:pPr>
            <w:pStyle w:val="TM1"/>
            <w:rPr>
              <w:rFonts w:eastAsiaTheme="minorEastAsia" w:cstheme="minorBidi"/>
              <w:b w:val="0"/>
              <w:bCs w:val="0"/>
              <w:caps w:val="0"/>
              <w:noProof/>
              <w:kern w:val="2"/>
              <w:szCs w:val="24"/>
              <w14:ligatures w14:val="standardContextual"/>
            </w:rPr>
          </w:pPr>
          <w:hyperlink w:anchor="_Toc179277415" w:history="1">
            <w:r w:rsidRPr="00692F81">
              <w:rPr>
                <w:rStyle w:val="Lienhypertexte"/>
                <w:noProof/>
              </w:rPr>
              <w:t>5.</w:t>
            </w:r>
            <w:r>
              <w:rPr>
                <w:rFonts w:eastAsiaTheme="minorEastAsia" w:cstheme="minorBidi"/>
                <w:b w:val="0"/>
                <w:bCs w:val="0"/>
                <w:caps w:val="0"/>
                <w:noProof/>
                <w:kern w:val="2"/>
                <w:szCs w:val="24"/>
                <w14:ligatures w14:val="standardContextual"/>
              </w:rPr>
              <w:tab/>
            </w:r>
            <w:r w:rsidRPr="00692F81">
              <w:rPr>
                <w:rStyle w:val="Lienhypertexte"/>
                <w:noProof/>
              </w:rPr>
              <w:t>Mesures pour éviter, réduire et/ou compenser les impacts négatifs de la mise en œuvre du PCAET</w:t>
            </w:r>
            <w:r>
              <w:rPr>
                <w:noProof/>
                <w:webHidden/>
              </w:rPr>
              <w:tab/>
            </w:r>
            <w:r>
              <w:rPr>
                <w:noProof/>
                <w:webHidden/>
              </w:rPr>
              <w:fldChar w:fldCharType="begin"/>
            </w:r>
            <w:r>
              <w:rPr>
                <w:noProof/>
                <w:webHidden/>
              </w:rPr>
              <w:instrText xml:space="preserve"> PAGEREF _Toc179277415 \h </w:instrText>
            </w:r>
            <w:r>
              <w:rPr>
                <w:noProof/>
                <w:webHidden/>
              </w:rPr>
            </w:r>
            <w:r>
              <w:rPr>
                <w:noProof/>
                <w:webHidden/>
              </w:rPr>
              <w:fldChar w:fldCharType="separate"/>
            </w:r>
            <w:r w:rsidR="007F7541">
              <w:rPr>
                <w:noProof/>
                <w:webHidden/>
              </w:rPr>
              <w:t>39</w:t>
            </w:r>
            <w:r>
              <w:rPr>
                <w:noProof/>
                <w:webHidden/>
              </w:rPr>
              <w:fldChar w:fldCharType="end"/>
            </w:r>
          </w:hyperlink>
        </w:p>
        <w:p w14:paraId="1D86AD45" w14:textId="1E590039" w:rsidR="00666805" w:rsidRDefault="00666805">
          <w:pPr>
            <w:pStyle w:val="TM2"/>
            <w:rPr>
              <w:rFonts w:eastAsiaTheme="minorEastAsia"/>
              <w:b w:val="0"/>
              <w:smallCaps w:val="0"/>
              <w:noProof/>
              <w:kern w:val="2"/>
              <w:sz w:val="24"/>
              <w:szCs w:val="24"/>
              <w14:ligatures w14:val="standardContextual"/>
            </w:rPr>
          </w:pPr>
          <w:hyperlink w:anchor="_Toc179277416" w:history="1">
            <w:r w:rsidRPr="00692F81">
              <w:rPr>
                <w:rStyle w:val="Lienhypertexte"/>
                <w:noProof/>
              </w:rPr>
              <w:t>5.1</w:t>
            </w:r>
            <w:r>
              <w:rPr>
                <w:rFonts w:eastAsiaTheme="minorEastAsia"/>
                <w:b w:val="0"/>
                <w:smallCaps w:val="0"/>
                <w:noProof/>
                <w:kern w:val="2"/>
                <w:sz w:val="24"/>
                <w:szCs w:val="24"/>
                <w14:ligatures w14:val="standardContextual"/>
              </w:rPr>
              <w:tab/>
            </w:r>
            <w:r w:rsidRPr="00692F81">
              <w:rPr>
                <w:rStyle w:val="Lienhypertexte"/>
                <w:noProof/>
              </w:rPr>
              <w:t>Principe de définition des mesures</w:t>
            </w:r>
            <w:r>
              <w:rPr>
                <w:noProof/>
                <w:webHidden/>
              </w:rPr>
              <w:tab/>
            </w:r>
            <w:r>
              <w:rPr>
                <w:noProof/>
                <w:webHidden/>
              </w:rPr>
              <w:fldChar w:fldCharType="begin"/>
            </w:r>
            <w:r>
              <w:rPr>
                <w:noProof/>
                <w:webHidden/>
              </w:rPr>
              <w:instrText xml:space="preserve"> PAGEREF _Toc179277416 \h </w:instrText>
            </w:r>
            <w:r>
              <w:rPr>
                <w:noProof/>
                <w:webHidden/>
              </w:rPr>
            </w:r>
            <w:r>
              <w:rPr>
                <w:noProof/>
                <w:webHidden/>
              </w:rPr>
              <w:fldChar w:fldCharType="separate"/>
            </w:r>
            <w:r w:rsidR="007F7541">
              <w:rPr>
                <w:noProof/>
                <w:webHidden/>
              </w:rPr>
              <w:t>39</w:t>
            </w:r>
            <w:r>
              <w:rPr>
                <w:noProof/>
                <w:webHidden/>
              </w:rPr>
              <w:fldChar w:fldCharType="end"/>
            </w:r>
          </w:hyperlink>
        </w:p>
        <w:p w14:paraId="52B1EA5C" w14:textId="2697AC6E" w:rsidR="00666805" w:rsidRDefault="00666805">
          <w:pPr>
            <w:pStyle w:val="TM2"/>
            <w:rPr>
              <w:rFonts w:eastAsiaTheme="minorEastAsia"/>
              <w:b w:val="0"/>
              <w:smallCaps w:val="0"/>
              <w:noProof/>
              <w:kern w:val="2"/>
              <w:sz w:val="24"/>
              <w:szCs w:val="24"/>
              <w14:ligatures w14:val="standardContextual"/>
            </w:rPr>
          </w:pPr>
          <w:hyperlink w:anchor="_Toc179277417" w:history="1">
            <w:r w:rsidRPr="00692F81">
              <w:rPr>
                <w:rStyle w:val="Lienhypertexte"/>
                <w:noProof/>
              </w:rPr>
              <w:t>5.2</w:t>
            </w:r>
            <w:r>
              <w:rPr>
                <w:rFonts w:eastAsiaTheme="minorEastAsia"/>
                <w:b w:val="0"/>
                <w:smallCaps w:val="0"/>
                <w:noProof/>
                <w:kern w:val="2"/>
                <w:sz w:val="24"/>
                <w:szCs w:val="24"/>
                <w14:ligatures w14:val="standardContextual"/>
              </w:rPr>
              <w:tab/>
            </w:r>
            <w:r w:rsidRPr="00692F81">
              <w:rPr>
                <w:rStyle w:val="Lienhypertexte"/>
                <w:noProof/>
              </w:rPr>
              <w:t>Impacts identifiés et mesures associées</w:t>
            </w:r>
            <w:r>
              <w:rPr>
                <w:noProof/>
                <w:webHidden/>
              </w:rPr>
              <w:tab/>
            </w:r>
            <w:r>
              <w:rPr>
                <w:noProof/>
                <w:webHidden/>
              </w:rPr>
              <w:fldChar w:fldCharType="begin"/>
            </w:r>
            <w:r>
              <w:rPr>
                <w:noProof/>
                <w:webHidden/>
              </w:rPr>
              <w:instrText xml:space="preserve"> PAGEREF _Toc179277417 \h </w:instrText>
            </w:r>
            <w:r>
              <w:rPr>
                <w:noProof/>
                <w:webHidden/>
              </w:rPr>
            </w:r>
            <w:r>
              <w:rPr>
                <w:noProof/>
                <w:webHidden/>
              </w:rPr>
              <w:fldChar w:fldCharType="separate"/>
            </w:r>
            <w:r w:rsidR="007F7541">
              <w:rPr>
                <w:noProof/>
                <w:webHidden/>
              </w:rPr>
              <w:t>39</w:t>
            </w:r>
            <w:r>
              <w:rPr>
                <w:noProof/>
                <w:webHidden/>
              </w:rPr>
              <w:fldChar w:fldCharType="end"/>
            </w:r>
          </w:hyperlink>
        </w:p>
        <w:p w14:paraId="0E78B167" w14:textId="69C5BFAE" w:rsidR="00666805" w:rsidRDefault="00666805">
          <w:pPr>
            <w:pStyle w:val="TM3"/>
            <w:rPr>
              <w:rFonts w:eastAsiaTheme="minorEastAsia" w:cstheme="minorBidi"/>
              <w:smallCaps w:val="0"/>
              <w:noProof/>
              <w:kern w:val="2"/>
              <w:sz w:val="24"/>
              <w:szCs w:val="24"/>
              <w14:ligatures w14:val="standardContextual"/>
            </w:rPr>
          </w:pPr>
          <w:hyperlink w:anchor="_Toc179277418" w:history="1">
            <w:r w:rsidRPr="00692F81">
              <w:rPr>
                <w:rStyle w:val="Lienhypertexte"/>
                <w:noProof/>
              </w:rPr>
              <w:t>5.2.1</w:t>
            </w:r>
            <w:r>
              <w:rPr>
                <w:rFonts w:eastAsiaTheme="minorEastAsia" w:cstheme="minorBidi"/>
                <w:smallCaps w:val="0"/>
                <w:noProof/>
                <w:kern w:val="2"/>
                <w:sz w:val="24"/>
                <w:szCs w:val="24"/>
                <w14:ligatures w14:val="standardContextual"/>
              </w:rPr>
              <w:tab/>
            </w:r>
            <w:r w:rsidRPr="00692F81">
              <w:rPr>
                <w:rStyle w:val="Lienhypertexte"/>
                <w:noProof/>
              </w:rPr>
              <w:t>Dégradation de la qualité paysagère ou patrimoniale</w:t>
            </w:r>
            <w:r>
              <w:rPr>
                <w:noProof/>
                <w:webHidden/>
              </w:rPr>
              <w:tab/>
            </w:r>
            <w:r>
              <w:rPr>
                <w:noProof/>
                <w:webHidden/>
              </w:rPr>
              <w:fldChar w:fldCharType="begin"/>
            </w:r>
            <w:r>
              <w:rPr>
                <w:noProof/>
                <w:webHidden/>
              </w:rPr>
              <w:instrText xml:space="preserve"> PAGEREF _Toc179277418 \h </w:instrText>
            </w:r>
            <w:r>
              <w:rPr>
                <w:noProof/>
                <w:webHidden/>
              </w:rPr>
            </w:r>
            <w:r>
              <w:rPr>
                <w:noProof/>
                <w:webHidden/>
              </w:rPr>
              <w:fldChar w:fldCharType="separate"/>
            </w:r>
            <w:r w:rsidR="007F7541">
              <w:rPr>
                <w:noProof/>
                <w:webHidden/>
              </w:rPr>
              <w:t>39</w:t>
            </w:r>
            <w:r>
              <w:rPr>
                <w:noProof/>
                <w:webHidden/>
              </w:rPr>
              <w:fldChar w:fldCharType="end"/>
            </w:r>
          </w:hyperlink>
        </w:p>
        <w:p w14:paraId="473A7810" w14:textId="4B19CF39" w:rsidR="00666805" w:rsidRDefault="00666805">
          <w:pPr>
            <w:pStyle w:val="TM3"/>
            <w:rPr>
              <w:rFonts w:eastAsiaTheme="minorEastAsia" w:cstheme="minorBidi"/>
              <w:smallCaps w:val="0"/>
              <w:noProof/>
              <w:kern w:val="2"/>
              <w:sz w:val="24"/>
              <w:szCs w:val="24"/>
              <w14:ligatures w14:val="standardContextual"/>
            </w:rPr>
          </w:pPr>
          <w:hyperlink w:anchor="_Toc179277419" w:history="1">
            <w:r w:rsidRPr="00692F81">
              <w:rPr>
                <w:rStyle w:val="Lienhypertexte"/>
                <w:noProof/>
              </w:rPr>
              <w:t>5.2.2</w:t>
            </w:r>
            <w:r>
              <w:rPr>
                <w:rFonts w:eastAsiaTheme="minorEastAsia" w:cstheme="minorBidi"/>
                <w:smallCaps w:val="0"/>
                <w:noProof/>
                <w:kern w:val="2"/>
                <w:sz w:val="24"/>
                <w:szCs w:val="24"/>
                <w14:ligatures w14:val="standardContextual"/>
              </w:rPr>
              <w:tab/>
            </w:r>
            <w:r w:rsidRPr="00692F81">
              <w:rPr>
                <w:rStyle w:val="Lienhypertexte"/>
                <w:noProof/>
              </w:rPr>
              <w:t>Dégradation des milieux naturels et des continuités écologiques</w:t>
            </w:r>
            <w:r>
              <w:rPr>
                <w:noProof/>
                <w:webHidden/>
              </w:rPr>
              <w:tab/>
            </w:r>
            <w:r>
              <w:rPr>
                <w:noProof/>
                <w:webHidden/>
              </w:rPr>
              <w:fldChar w:fldCharType="begin"/>
            </w:r>
            <w:r>
              <w:rPr>
                <w:noProof/>
                <w:webHidden/>
              </w:rPr>
              <w:instrText xml:space="preserve"> PAGEREF _Toc179277419 \h </w:instrText>
            </w:r>
            <w:r>
              <w:rPr>
                <w:noProof/>
                <w:webHidden/>
              </w:rPr>
            </w:r>
            <w:r>
              <w:rPr>
                <w:noProof/>
                <w:webHidden/>
              </w:rPr>
              <w:fldChar w:fldCharType="separate"/>
            </w:r>
            <w:r w:rsidR="007F7541">
              <w:rPr>
                <w:noProof/>
                <w:webHidden/>
              </w:rPr>
              <w:t>40</w:t>
            </w:r>
            <w:r>
              <w:rPr>
                <w:noProof/>
                <w:webHidden/>
              </w:rPr>
              <w:fldChar w:fldCharType="end"/>
            </w:r>
          </w:hyperlink>
        </w:p>
        <w:p w14:paraId="291CC7C5" w14:textId="130F7BF8" w:rsidR="00666805" w:rsidRDefault="00666805">
          <w:pPr>
            <w:pStyle w:val="TM3"/>
            <w:rPr>
              <w:rFonts w:eastAsiaTheme="minorEastAsia" w:cstheme="minorBidi"/>
              <w:smallCaps w:val="0"/>
              <w:noProof/>
              <w:kern w:val="2"/>
              <w:sz w:val="24"/>
              <w:szCs w:val="24"/>
              <w14:ligatures w14:val="standardContextual"/>
            </w:rPr>
          </w:pPr>
          <w:hyperlink w:anchor="_Toc179277420" w:history="1">
            <w:r w:rsidRPr="00692F81">
              <w:rPr>
                <w:rStyle w:val="Lienhypertexte"/>
                <w:noProof/>
              </w:rPr>
              <w:t>5.2.3</w:t>
            </w:r>
            <w:r>
              <w:rPr>
                <w:rFonts w:eastAsiaTheme="minorEastAsia" w:cstheme="minorBidi"/>
                <w:smallCaps w:val="0"/>
                <w:noProof/>
                <w:kern w:val="2"/>
                <w:sz w:val="24"/>
                <w:szCs w:val="24"/>
                <w14:ligatures w14:val="standardContextual"/>
              </w:rPr>
              <w:tab/>
            </w:r>
            <w:r w:rsidRPr="00692F81">
              <w:rPr>
                <w:rStyle w:val="Lienhypertexte"/>
                <w:noProof/>
              </w:rPr>
              <w:t>Production de déchets supplémentaires</w:t>
            </w:r>
            <w:r>
              <w:rPr>
                <w:noProof/>
                <w:webHidden/>
              </w:rPr>
              <w:tab/>
            </w:r>
            <w:r>
              <w:rPr>
                <w:noProof/>
                <w:webHidden/>
              </w:rPr>
              <w:fldChar w:fldCharType="begin"/>
            </w:r>
            <w:r>
              <w:rPr>
                <w:noProof/>
                <w:webHidden/>
              </w:rPr>
              <w:instrText xml:space="preserve"> PAGEREF _Toc179277420 \h </w:instrText>
            </w:r>
            <w:r>
              <w:rPr>
                <w:noProof/>
                <w:webHidden/>
              </w:rPr>
            </w:r>
            <w:r>
              <w:rPr>
                <w:noProof/>
                <w:webHidden/>
              </w:rPr>
              <w:fldChar w:fldCharType="separate"/>
            </w:r>
            <w:r w:rsidR="007F7541">
              <w:rPr>
                <w:noProof/>
                <w:webHidden/>
              </w:rPr>
              <w:t>40</w:t>
            </w:r>
            <w:r>
              <w:rPr>
                <w:noProof/>
                <w:webHidden/>
              </w:rPr>
              <w:fldChar w:fldCharType="end"/>
            </w:r>
          </w:hyperlink>
        </w:p>
        <w:p w14:paraId="50288EC2" w14:textId="0CCB114D" w:rsidR="00666805" w:rsidRDefault="00666805">
          <w:pPr>
            <w:pStyle w:val="TM3"/>
            <w:rPr>
              <w:rFonts w:eastAsiaTheme="minorEastAsia" w:cstheme="minorBidi"/>
              <w:smallCaps w:val="0"/>
              <w:noProof/>
              <w:kern w:val="2"/>
              <w:sz w:val="24"/>
              <w:szCs w:val="24"/>
              <w14:ligatures w14:val="standardContextual"/>
            </w:rPr>
          </w:pPr>
          <w:hyperlink w:anchor="_Toc179277421" w:history="1">
            <w:r w:rsidRPr="00692F81">
              <w:rPr>
                <w:rStyle w:val="Lienhypertexte"/>
                <w:noProof/>
              </w:rPr>
              <w:t>5.2.4</w:t>
            </w:r>
            <w:r>
              <w:rPr>
                <w:rFonts w:eastAsiaTheme="minorEastAsia" w:cstheme="minorBidi"/>
                <w:smallCaps w:val="0"/>
                <w:noProof/>
                <w:kern w:val="2"/>
                <w:sz w:val="24"/>
                <w:szCs w:val="24"/>
                <w14:ligatures w14:val="standardContextual"/>
              </w:rPr>
              <w:tab/>
            </w:r>
            <w:r w:rsidRPr="00692F81">
              <w:rPr>
                <w:rStyle w:val="Lienhypertexte"/>
                <w:noProof/>
              </w:rPr>
              <w:t>Dégradation de la qualité de l’air par l’implantation de végétalisation en ville</w:t>
            </w:r>
            <w:r>
              <w:rPr>
                <w:noProof/>
                <w:webHidden/>
              </w:rPr>
              <w:tab/>
            </w:r>
            <w:r>
              <w:rPr>
                <w:noProof/>
                <w:webHidden/>
              </w:rPr>
              <w:fldChar w:fldCharType="begin"/>
            </w:r>
            <w:r>
              <w:rPr>
                <w:noProof/>
                <w:webHidden/>
              </w:rPr>
              <w:instrText xml:space="preserve"> PAGEREF _Toc179277421 \h </w:instrText>
            </w:r>
            <w:r>
              <w:rPr>
                <w:noProof/>
                <w:webHidden/>
              </w:rPr>
            </w:r>
            <w:r>
              <w:rPr>
                <w:noProof/>
                <w:webHidden/>
              </w:rPr>
              <w:fldChar w:fldCharType="separate"/>
            </w:r>
            <w:r w:rsidR="007F7541">
              <w:rPr>
                <w:noProof/>
                <w:webHidden/>
              </w:rPr>
              <w:t>41</w:t>
            </w:r>
            <w:r>
              <w:rPr>
                <w:noProof/>
                <w:webHidden/>
              </w:rPr>
              <w:fldChar w:fldCharType="end"/>
            </w:r>
          </w:hyperlink>
        </w:p>
        <w:p w14:paraId="3EF9792D" w14:textId="32C0C666" w:rsidR="00666805" w:rsidRDefault="00666805">
          <w:pPr>
            <w:pStyle w:val="TM3"/>
            <w:rPr>
              <w:rFonts w:eastAsiaTheme="minorEastAsia" w:cstheme="minorBidi"/>
              <w:smallCaps w:val="0"/>
              <w:noProof/>
              <w:kern w:val="2"/>
              <w:sz w:val="24"/>
              <w:szCs w:val="24"/>
              <w14:ligatures w14:val="standardContextual"/>
            </w:rPr>
          </w:pPr>
          <w:hyperlink w:anchor="_Toc179277422" w:history="1">
            <w:r w:rsidRPr="00692F81">
              <w:rPr>
                <w:rStyle w:val="Lienhypertexte"/>
                <w:noProof/>
              </w:rPr>
              <w:t>5.2.5</w:t>
            </w:r>
            <w:r>
              <w:rPr>
                <w:rFonts w:eastAsiaTheme="minorEastAsia" w:cstheme="minorBidi"/>
                <w:smallCaps w:val="0"/>
                <w:noProof/>
                <w:kern w:val="2"/>
                <w:sz w:val="24"/>
                <w:szCs w:val="24"/>
                <w14:ligatures w14:val="standardContextual"/>
              </w:rPr>
              <w:tab/>
            </w:r>
            <w:r w:rsidRPr="00692F81">
              <w:rPr>
                <w:rStyle w:val="Lienhypertexte"/>
                <w:noProof/>
              </w:rPr>
              <w:t>Dégradation de la qualité de l’air par le développement du bois-énergie</w:t>
            </w:r>
            <w:r>
              <w:rPr>
                <w:noProof/>
                <w:webHidden/>
              </w:rPr>
              <w:tab/>
            </w:r>
            <w:r>
              <w:rPr>
                <w:noProof/>
                <w:webHidden/>
              </w:rPr>
              <w:fldChar w:fldCharType="begin"/>
            </w:r>
            <w:r>
              <w:rPr>
                <w:noProof/>
                <w:webHidden/>
              </w:rPr>
              <w:instrText xml:space="preserve"> PAGEREF _Toc179277422 \h </w:instrText>
            </w:r>
            <w:r>
              <w:rPr>
                <w:noProof/>
                <w:webHidden/>
              </w:rPr>
            </w:r>
            <w:r>
              <w:rPr>
                <w:noProof/>
                <w:webHidden/>
              </w:rPr>
              <w:fldChar w:fldCharType="separate"/>
            </w:r>
            <w:r w:rsidR="007F7541">
              <w:rPr>
                <w:noProof/>
                <w:webHidden/>
              </w:rPr>
              <w:t>41</w:t>
            </w:r>
            <w:r>
              <w:rPr>
                <w:noProof/>
                <w:webHidden/>
              </w:rPr>
              <w:fldChar w:fldCharType="end"/>
            </w:r>
          </w:hyperlink>
        </w:p>
        <w:p w14:paraId="03AA7EE1" w14:textId="03EF160B" w:rsidR="00666805" w:rsidRDefault="00666805">
          <w:pPr>
            <w:pStyle w:val="TM3"/>
            <w:rPr>
              <w:rFonts w:eastAsiaTheme="minorEastAsia" w:cstheme="minorBidi"/>
              <w:smallCaps w:val="0"/>
              <w:noProof/>
              <w:kern w:val="2"/>
              <w:sz w:val="24"/>
              <w:szCs w:val="24"/>
              <w14:ligatures w14:val="standardContextual"/>
            </w:rPr>
          </w:pPr>
          <w:hyperlink w:anchor="_Toc179277423" w:history="1">
            <w:r w:rsidRPr="00692F81">
              <w:rPr>
                <w:rStyle w:val="Lienhypertexte"/>
                <w:noProof/>
              </w:rPr>
              <w:t>5.2.6</w:t>
            </w:r>
            <w:r>
              <w:rPr>
                <w:rFonts w:eastAsiaTheme="minorEastAsia" w:cstheme="minorBidi"/>
                <w:smallCaps w:val="0"/>
                <w:noProof/>
                <w:kern w:val="2"/>
                <w:sz w:val="24"/>
                <w:szCs w:val="24"/>
                <w14:ligatures w14:val="standardContextual"/>
              </w:rPr>
              <w:tab/>
            </w:r>
            <w:r w:rsidRPr="00692F81">
              <w:rPr>
                <w:rStyle w:val="Lienhypertexte"/>
                <w:noProof/>
              </w:rPr>
              <w:t>Augmentation des déplacements liés au développement des circuits-courts</w:t>
            </w:r>
            <w:r>
              <w:rPr>
                <w:noProof/>
                <w:webHidden/>
              </w:rPr>
              <w:tab/>
            </w:r>
            <w:r>
              <w:rPr>
                <w:noProof/>
                <w:webHidden/>
              </w:rPr>
              <w:fldChar w:fldCharType="begin"/>
            </w:r>
            <w:r>
              <w:rPr>
                <w:noProof/>
                <w:webHidden/>
              </w:rPr>
              <w:instrText xml:space="preserve"> PAGEREF _Toc179277423 \h </w:instrText>
            </w:r>
            <w:r>
              <w:rPr>
                <w:noProof/>
                <w:webHidden/>
              </w:rPr>
            </w:r>
            <w:r>
              <w:rPr>
                <w:noProof/>
                <w:webHidden/>
              </w:rPr>
              <w:fldChar w:fldCharType="separate"/>
            </w:r>
            <w:r w:rsidR="007F7541">
              <w:rPr>
                <w:noProof/>
                <w:webHidden/>
              </w:rPr>
              <w:t>42</w:t>
            </w:r>
            <w:r>
              <w:rPr>
                <w:noProof/>
                <w:webHidden/>
              </w:rPr>
              <w:fldChar w:fldCharType="end"/>
            </w:r>
          </w:hyperlink>
        </w:p>
        <w:p w14:paraId="3ED234D0" w14:textId="15B240EC" w:rsidR="00666805" w:rsidRDefault="00666805">
          <w:pPr>
            <w:pStyle w:val="TM3"/>
            <w:rPr>
              <w:rFonts w:eastAsiaTheme="minorEastAsia" w:cstheme="minorBidi"/>
              <w:smallCaps w:val="0"/>
              <w:noProof/>
              <w:kern w:val="2"/>
              <w:sz w:val="24"/>
              <w:szCs w:val="24"/>
              <w14:ligatures w14:val="standardContextual"/>
            </w:rPr>
          </w:pPr>
          <w:hyperlink w:anchor="_Toc179277424" w:history="1">
            <w:r w:rsidRPr="00692F81">
              <w:rPr>
                <w:rStyle w:val="Lienhypertexte"/>
                <w:noProof/>
              </w:rPr>
              <w:t>5.2.7</w:t>
            </w:r>
            <w:r>
              <w:rPr>
                <w:rFonts w:eastAsiaTheme="minorEastAsia" w:cstheme="minorBidi"/>
                <w:smallCaps w:val="0"/>
                <w:noProof/>
                <w:kern w:val="2"/>
                <w:sz w:val="24"/>
                <w:szCs w:val="24"/>
                <w14:ligatures w14:val="standardContextual"/>
              </w:rPr>
              <w:tab/>
            </w:r>
            <w:r w:rsidRPr="00692F81">
              <w:rPr>
                <w:rStyle w:val="Lienhypertexte"/>
                <w:noProof/>
              </w:rPr>
              <w:t>Augmentation des déplacements liés aux infrastructures de production d’énergies renouvelables et de récupération</w:t>
            </w:r>
            <w:r>
              <w:rPr>
                <w:noProof/>
                <w:webHidden/>
              </w:rPr>
              <w:tab/>
            </w:r>
            <w:r>
              <w:rPr>
                <w:noProof/>
                <w:webHidden/>
              </w:rPr>
              <w:fldChar w:fldCharType="begin"/>
            </w:r>
            <w:r>
              <w:rPr>
                <w:noProof/>
                <w:webHidden/>
              </w:rPr>
              <w:instrText xml:space="preserve"> PAGEREF _Toc179277424 \h </w:instrText>
            </w:r>
            <w:r>
              <w:rPr>
                <w:noProof/>
                <w:webHidden/>
              </w:rPr>
            </w:r>
            <w:r>
              <w:rPr>
                <w:noProof/>
                <w:webHidden/>
              </w:rPr>
              <w:fldChar w:fldCharType="separate"/>
            </w:r>
            <w:r w:rsidR="007F7541">
              <w:rPr>
                <w:noProof/>
                <w:webHidden/>
              </w:rPr>
              <w:t>42</w:t>
            </w:r>
            <w:r>
              <w:rPr>
                <w:noProof/>
                <w:webHidden/>
              </w:rPr>
              <w:fldChar w:fldCharType="end"/>
            </w:r>
          </w:hyperlink>
        </w:p>
        <w:p w14:paraId="2140D672" w14:textId="03BAAE76" w:rsidR="00666805" w:rsidRDefault="00666805">
          <w:pPr>
            <w:pStyle w:val="TM3"/>
            <w:rPr>
              <w:rFonts w:eastAsiaTheme="minorEastAsia" w:cstheme="minorBidi"/>
              <w:smallCaps w:val="0"/>
              <w:noProof/>
              <w:kern w:val="2"/>
              <w:sz w:val="24"/>
              <w:szCs w:val="24"/>
              <w14:ligatures w14:val="standardContextual"/>
            </w:rPr>
          </w:pPr>
          <w:hyperlink w:anchor="_Toc179277425" w:history="1">
            <w:r w:rsidRPr="00692F81">
              <w:rPr>
                <w:rStyle w:val="Lienhypertexte"/>
                <w:noProof/>
              </w:rPr>
              <w:t>5.2.8</w:t>
            </w:r>
            <w:r>
              <w:rPr>
                <w:rFonts w:eastAsiaTheme="minorEastAsia" w:cstheme="minorBidi"/>
                <w:smallCaps w:val="0"/>
                <w:noProof/>
                <w:kern w:val="2"/>
                <w:sz w:val="24"/>
                <w:szCs w:val="24"/>
                <w14:ligatures w14:val="standardContextual"/>
              </w:rPr>
              <w:tab/>
            </w:r>
            <w:r w:rsidRPr="00692F81">
              <w:rPr>
                <w:rStyle w:val="Lienhypertexte"/>
                <w:noProof/>
              </w:rPr>
              <w:t>Disparition de terres agricoles au profit du développement du bioGNV et du biogaz</w:t>
            </w:r>
            <w:r>
              <w:rPr>
                <w:noProof/>
                <w:webHidden/>
              </w:rPr>
              <w:tab/>
            </w:r>
            <w:r>
              <w:rPr>
                <w:noProof/>
                <w:webHidden/>
              </w:rPr>
              <w:fldChar w:fldCharType="begin"/>
            </w:r>
            <w:r>
              <w:rPr>
                <w:noProof/>
                <w:webHidden/>
              </w:rPr>
              <w:instrText xml:space="preserve"> PAGEREF _Toc179277425 \h </w:instrText>
            </w:r>
            <w:r>
              <w:rPr>
                <w:noProof/>
                <w:webHidden/>
              </w:rPr>
            </w:r>
            <w:r>
              <w:rPr>
                <w:noProof/>
                <w:webHidden/>
              </w:rPr>
              <w:fldChar w:fldCharType="separate"/>
            </w:r>
            <w:r w:rsidR="007F7541">
              <w:rPr>
                <w:noProof/>
                <w:webHidden/>
              </w:rPr>
              <w:t>43</w:t>
            </w:r>
            <w:r>
              <w:rPr>
                <w:noProof/>
                <w:webHidden/>
              </w:rPr>
              <w:fldChar w:fldCharType="end"/>
            </w:r>
          </w:hyperlink>
        </w:p>
        <w:p w14:paraId="4F6FA6CF" w14:textId="092E3FDA" w:rsidR="00666805" w:rsidRDefault="00666805">
          <w:pPr>
            <w:pStyle w:val="TM3"/>
            <w:rPr>
              <w:rFonts w:eastAsiaTheme="minorEastAsia" w:cstheme="minorBidi"/>
              <w:smallCaps w:val="0"/>
              <w:noProof/>
              <w:kern w:val="2"/>
              <w:sz w:val="24"/>
              <w:szCs w:val="24"/>
              <w14:ligatures w14:val="standardContextual"/>
            </w:rPr>
          </w:pPr>
          <w:hyperlink w:anchor="_Toc179277426" w:history="1">
            <w:r w:rsidRPr="00692F81">
              <w:rPr>
                <w:rStyle w:val="Lienhypertexte"/>
                <w:noProof/>
              </w:rPr>
              <w:t>5.2.9</w:t>
            </w:r>
            <w:r>
              <w:rPr>
                <w:rFonts w:eastAsiaTheme="minorEastAsia" w:cstheme="minorBidi"/>
                <w:smallCaps w:val="0"/>
                <w:noProof/>
                <w:kern w:val="2"/>
                <w:sz w:val="24"/>
                <w:szCs w:val="24"/>
                <w14:ligatures w14:val="standardContextual"/>
              </w:rPr>
              <w:tab/>
            </w:r>
            <w:r w:rsidRPr="00692F81">
              <w:rPr>
                <w:rStyle w:val="Lienhypertexte"/>
                <w:noProof/>
              </w:rPr>
              <w:t>Risque de dégradation de la qualité des eaux et des sols et/ou de l’air liée à l’épandage de digestat</w:t>
            </w:r>
            <w:r>
              <w:rPr>
                <w:noProof/>
                <w:webHidden/>
              </w:rPr>
              <w:tab/>
            </w:r>
            <w:r>
              <w:rPr>
                <w:noProof/>
                <w:webHidden/>
              </w:rPr>
              <w:fldChar w:fldCharType="begin"/>
            </w:r>
            <w:r>
              <w:rPr>
                <w:noProof/>
                <w:webHidden/>
              </w:rPr>
              <w:instrText xml:space="preserve"> PAGEREF _Toc179277426 \h </w:instrText>
            </w:r>
            <w:r>
              <w:rPr>
                <w:noProof/>
                <w:webHidden/>
              </w:rPr>
            </w:r>
            <w:r>
              <w:rPr>
                <w:noProof/>
                <w:webHidden/>
              </w:rPr>
              <w:fldChar w:fldCharType="separate"/>
            </w:r>
            <w:r w:rsidR="007F7541">
              <w:rPr>
                <w:noProof/>
                <w:webHidden/>
              </w:rPr>
              <w:t>43</w:t>
            </w:r>
            <w:r>
              <w:rPr>
                <w:noProof/>
                <w:webHidden/>
              </w:rPr>
              <w:fldChar w:fldCharType="end"/>
            </w:r>
          </w:hyperlink>
        </w:p>
        <w:p w14:paraId="095F3369" w14:textId="123CEB97" w:rsidR="00666805" w:rsidRDefault="00666805">
          <w:pPr>
            <w:pStyle w:val="TM3"/>
            <w:rPr>
              <w:rFonts w:eastAsiaTheme="minorEastAsia" w:cstheme="minorBidi"/>
              <w:smallCaps w:val="0"/>
              <w:noProof/>
              <w:kern w:val="2"/>
              <w:sz w:val="24"/>
              <w:szCs w:val="24"/>
              <w14:ligatures w14:val="standardContextual"/>
            </w:rPr>
          </w:pPr>
          <w:hyperlink w:anchor="_Toc179277427" w:history="1">
            <w:r w:rsidRPr="00692F81">
              <w:rPr>
                <w:rStyle w:val="Lienhypertexte"/>
                <w:noProof/>
              </w:rPr>
              <w:t>5.2.10</w:t>
            </w:r>
            <w:r>
              <w:rPr>
                <w:rFonts w:eastAsiaTheme="minorEastAsia" w:cstheme="minorBidi"/>
                <w:smallCaps w:val="0"/>
                <w:noProof/>
                <w:kern w:val="2"/>
                <w:sz w:val="24"/>
                <w:szCs w:val="24"/>
                <w14:ligatures w14:val="standardContextual"/>
              </w:rPr>
              <w:tab/>
            </w:r>
            <w:r w:rsidRPr="00692F81">
              <w:rPr>
                <w:rStyle w:val="Lienhypertexte"/>
                <w:noProof/>
              </w:rPr>
              <w:t>Risque de dégradation de la qualité des eaux dans le cas de fuites au sein des unités de méthanisation</w:t>
            </w:r>
            <w:r>
              <w:rPr>
                <w:noProof/>
                <w:webHidden/>
              </w:rPr>
              <w:tab/>
            </w:r>
            <w:r>
              <w:rPr>
                <w:noProof/>
                <w:webHidden/>
              </w:rPr>
              <w:fldChar w:fldCharType="begin"/>
            </w:r>
            <w:r>
              <w:rPr>
                <w:noProof/>
                <w:webHidden/>
              </w:rPr>
              <w:instrText xml:space="preserve"> PAGEREF _Toc179277427 \h </w:instrText>
            </w:r>
            <w:r>
              <w:rPr>
                <w:noProof/>
                <w:webHidden/>
              </w:rPr>
            </w:r>
            <w:r>
              <w:rPr>
                <w:noProof/>
                <w:webHidden/>
              </w:rPr>
              <w:fldChar w:fldCharType="separate"/>
            </w:r>
            <w:r w:rsidR="007F7541">
              <w:rPr>
                <w:noProof/>
                <w:webHidden/>
              </w:rPr>
              <w:t>44</w:t>
            </w:r>
            <w:r>
              <w:rPr>
                <w:noProof/>
                <w:webHidden/>
              </w:rPr>
              <w:fldChar w:fldCharType="end"/>
            </w:r>
          </w:hyperlink>
        </w:p>
        <w:p w14:paraId="2443FF50" w14:textId="55F412F7" w:rsidR="00666805" w:rsidRDefault="00666805">
          <w:pPr>
            <w:pStyle w:val="TM3"/>
            <w:rPr>
              <w:rFonts w:eastAsiaTheme="minorEastAsia" w:cstheme="minorBidi"/>
              <w:smallCaps w:val="0"/>
              <w:noProof/>
              <w:kern w:val="2"/>
              <w:sz w:val="24"/>
              <w:szCs w:val="24"/>
              <w14:ligatures w14:val="standardContextual"/>
            </w:rPr>
          </w:pPr>
          <w:hyperlink w:anchor="_Toc179277428" w:history="1">
            <w:r w:rsidRPr="00692F81">
              <w:rPr>
                <w:rStyle w:val="Lienhypertexte"/>
                <w:noProof/>
              </w:rPr>
              <w:t>5.2.11</w:t>
            </w:r>
            <w:r>
              <w:rPr>
                <w:rFonts w:eastAsiaTheme="minorEastAsia" w:cstheme="minorBidi"/>
                <w:smallCaps w:val="0"/>
                <w:noProof/>
                <w:kern w:val="2"/>
                <w:sz w:val="24"/>
                <w:szCs w:val="24"/>
                <w14:ligatures w14:val="standardContextual"/>
              </w:rPr>
              <w:tab/>
            </w:r>
            <w:r w:rsidRPr="00692F81">
              <w:rPr>
                <w:rStyle w:val="Lienhypertexte"/>
                <w:noProof/>
              </w:rPr>
              <w:t>Risque de dégradation de la biodiversité avec l’installation d’équipements de production d’énergies renouvelables et de récupération</w:t>
            </w:r>
            <w:r>
              <w:rPr>
                <w:noProof/>
                <w:webHidden/>
              </w:rPr>
              <w:tab/>
            </w:r>
            <w:r>
              <w:rPr>
                <w:noProof/>
                <w:webHidden/>
              </w:rPr>
              <w:fldChar w:fldCharType="begin"/>
            </w:r>
            <w:r>
              <w:rPr>
                <w:noProof/>
                <w:webHidden/>
              </w:rPr>
              <w:instrText xml:space="preserve"> PAGEREF _Toc179277428 \h </w:instrText>
            </w:r>
            <w:r>
              <w:rPr>
                <w:noProof/>
                <w:webHidden/>
              </w:rPr>
            </w:r>
            <w:r>
              <w:rPr>
                <w:noProof/>
                <w:webHidden/>
              </w:rPr>
              <w:fldChar w:fldCharType="separate"/>
            </w:r>
            <w:r w:rsidR="007F7541">
              <w:rPr>
                <w:noProof/>
                <w:webHidden/>
              </w:rPr>
              <w:t>44</w:t>
            </w:r>
            <w:r>
              <w:rPr>
                <w:noProof/>
                <w:webHidden/>
              </w:rPr>
              <w:fldChar w:fldCharType="end"/>
            </w:r>
          </w:hyperlink>
        </w:p>
        <w:p w14:paraId="5FA6746E" w14:textId="7E0E6850" w:rsidR="00666805" w:rsidRDefault="00666805">
          <w:pPr>
            <w:pStyle w:val="TM3"/>
            <w:rPr>
              <w:rStyle w:val="Lienhypertexte"/>
              <w:noProof/>
            </w:rPr>
          </w:pPr>
          <w:hyperlink w:anchor="_Toc179277429" w:history="1">
            <w:r w:rsidRPr="00692F81">
              <w:rPr>
                <w:rStyle w:val="Lienhypertexte"/>
                <w:noProof/>
              </w:rPr>
              <w:t>5.2.12</w:t>
            </w:r>
            <w:r>
              <w:rPr>
                <w:rFonts w:eastAsiaTheme="minorEastAsia" w:cstheme="minorBidi"/>
                <w:smallCaps w:val="0"/>
                <w:noProof/>
                <w:kern w:val="2"/>
                <w:sz w:val="24"/>
                <w:szCs w:val="24"/>
                <w14:ligatures w14:val="standardContextual"/>
              </w:rPr>
              <w:tab/>
            </w:r>
            <w:r w:rsidRPr="00692F81">
              <w:rPr>
                <w:rStyle w:val="Lienhypertexte"/>
                <w:noProof/>
              </w:rPr>
              <w:t>Risque de dégradation de la biodiversité aquatique avec le développement du transport fluvial de marchandises</w:t>
            </w:r>
            <w:r>
              <w:rPr>
                <w:noProof/>
                <w:webHidden/>
              </w:rPr>
              <w:tab/>
            </w:r>
            <w:r>
              <w:rPr>
                <w:noProof/>
                <w:webHidden/>
              </w:rPr>
              <w:fldChar w:fldCharType="begin"/>
            </w:r>
            <w:r>
              <w:rPr>
                <w:noProof/>
                <w:webHidden/>
              </w:rPr>
              <w:instrText xml:space="preserve"> PAGEREF _Toc179277429 \h </w:instrText>
            </w:r>
            <w:r>
              <w:rPr>
                <w:noProof/>
                <w:webHidden/>
              </w:rPr>
            </w:r>
            <w:r>
              <w:rPr>
                <w:noProof/>
                <w:webHidden/>
              </w:rPr>
              <w:fldChar w:fldCharType="separate"/>
            </w:r>
            <w:r w:rsidR="007F7541">
              <w:rPr>
                <w:noProof/>
                <w:webHidden/>
              </w:rPr>
              <w:t>45</w:t>
            </w:r>
            <w:r>
              <w:rPr>
                <w:noProof/>
                <w:webHidden/>
              </w:rPr>
              <w:fldChar w:fldCharType="end"/>
            </w:r>
          </w:hyperlink>
        </w:p>
        <w:p w14:paraId="3E15FA55" w14:textId="77777777" w:rsidR="00B60814" w:rsidRPr="00B60814" w:rsidRDefault="00B60814" w:rsidP="00B60814"/>
        <w:p w14:paraId="0FCD8E09" w14:textId="5BA5A0E6" w:rsidR="00666805" w:rsidRDefault="00666805">
          <w:pPr>
            <w:pStyle w:val="TM1"/>
            <w:rPr>
              <w:rStyle w:val="Lienhypertexte"/>
              <w:noProof/>
            </w:rPr>
          </w:pPr>
          <w:hyperlink w:anchor="_Toc179277430" w:history="1">
            <w:r w:rsidRPr="00692F81">
              <w:rPr>
                <w:rStyle w:val="Lienhypertexte"/>
                <w:noProof/>
              </w:rPr>
              <w:t>6.</w:t>
            </w:r>
            <w:r>
              <w:rPr>
                <w:rFonts w:eastAsiaTheme="minorEastAsia" w:cstheme="minorBidi"/>
                <w:b w:val="0"/>
                <w:bCs w:val="0"/>
                <w:caps w:val="0"/>
                <w:noProof/>
                <w:kern w:val="2"/>
                <w:szCs w:val="24"/>
                <w14:ligatures w14:val="standardContextual"/>
              </w:rPr>
              <w:tab/>
            </w:r>
            <w:r w:rsidRPr="00692F81">
              <w:rPr>
                <w:rStyle w:val="Lienhypertexte"/>
                <w:noProof/>
              </w:rPr>
              <w:t>Indicateurs de suivi</w:t>
            </w:r>
            <w:r>
              <w:rPr>
                <w:noProof/>
                <w:webHidden/>
              </w:rPr>
              <w:tab/>
            </w:r>
            <w:r>
              <w:rPr>
                <w:noProof/>
                <w:webHidden/>
              </w:rPr>
              <w:fldChar w:fldCharType="begin"/>
            </w:r>
            <w:r>
              <w:rPr>
                <w:noProof/>
                <w:webHidden/>
              </w:rPr>
              <w:instrText xml:space="preserve"> PAGEREF _Toc179277430 \h </w:instrText>
            </w:r>
            <w:r>
              <w:rPr>
                <w:noProof/>
                <w:webHidden/>
              </w:rPr>
            </w:r>
            <w:r>
              <w:rPr>
                <w:noProof/>
                <w:webHidden/>
              </w:rPr>
              <w:fldChar w:fldCharType="separate"/>
            </w:r>
            <w:r w:rsidR="007F7541">
              <w:rPr>
                <w:noProof/>
                <w:webHidden/>
              </w:rPr>
              <w:t>46</w:t>
            </w:r>
            <w:r>
              <w:rPr>
                <w:noProof/>
                <w:webHidden/>
              </w:rPr>
              <w:fldChar w:fldCharType="end"/>
            </w:r>
          </w:hyperlink>
        </w:p>
        <w:p w14:paraId="3C1E4873" w14:textId="77777777" w:rsidR="00B60814" w:rsidRPr="00B60814" w:rsidRDefault="00B60814" w:rsidP="00B60814"/>
        <w:p w14:paraId="5BCE9C3A" w14:textId="1F740ABC" w:rsidR="00666805" w:rsidRDefault="00666805">
          <w:pPr>
            <w:pStyle w:val="TM1"/>
            <w:rPr>
              <w:rFonts w:eastAsiaTheme="minorEastAsia" w:cstheme="minorBidi"/>
              <w:b w:val="0"/>
              <w:bCs w:val="0"/>
              <w:caps w:val="0"/>
              <w:noProof/>
              <w:kern w:val="2"/>
              <w:szCs w:val="24"/>
              <w14:ligatures w14:val="standardContextual"/>
            </w:rPr>
          </w:pPr>
          <w:hyperlink w:anchor="_Toc179277431" w:history="1">
            <w:r w:rsidRPr="00692F81">
              <w:rPr>
                <w:rStyle w:val="Lienhypertexte"/>
                <w:noProof/>
              </w:rPr>
              <w:t>JUSTIFICATION DES RAISONS DU CHOIX DU PCAET</w:t>
            </w:r>
            <w:r>
              <w:rPr>
                <w:noProof/>
                <w:webHidden/>
              </w:rPr>
              <w:tab/>
            </w:r>
            <w:r>
              <w:rPr>
                <w:noProof/>
                <w:webHidden/>
              </w:rPr>
              <w:fldChar w:fldCharType="begin"/>
            </w:r>
            <w:r>
              <w:rPr>
                <w:noProof/>
                <w:webHidden/>
              </w:rPr>
              <w:instrText xml:space="preserve"> PAGEREF _Toc179277431 \h </w:instrText>
            </w:r>
            <w:r>
              <w:rPr>
                <w:noProof/>
                <w:webHidden/>
              </w:rPr>
            </w:r>
            <w:r>
              <w:rPr>
                <w:noProof/>
                <w:webHidden/>
              </w:rPr>
              <w:fldChar w:fldCharType="separate"/>
            </w:r>
            <w:r w:rsidR="007F7541">
              <w:rPr>
                <w:noProof/>
                <w:webHidden/>
              </w:rPr>
              <w:t>47</w:t>
            </w:r>
            <w:r>
              <w:rPr>
                <w:noProof/>
                <w:webHidden/>
              </w:rPr>
              <w:fldChar w:fldCharType="end"/>
            </w:r>
          </w:hyperlink>
        </w:p>
        <w:p w14:paraId="204C3650" w14:textId="5EB50DED" w:rsidR="00666805" w:rsidRDefault="00666805">
          <w:pPr>
            <w:pStyle w:val="TM2"/>
            <w:rPr>
              <w:rFonts w:eastAsiaTheme="minorEastAsia"/>
              <w:b w:val="0"/>
              <w:smallCaps w:val="0"/>
              <w:noProof/>
              <w:kern w:val="2"/>
              <w:sz w:val="24"/>
              <w:szCs w:val="24"/>
              <w14:ligatures w14:val="standardContextual"/>
            </w:rPr>
          </w:pPr>
          <w:hyperlink w:anchor="_Toc179277432" w:history="1">
            <w:r w:rsidRPr="00692F81">
              <w:rPr>
                <w:rStyle w:val="Lienhypertexte"/>
                <w:noProof/>
              </w:rPr>
              <w:t>6.1</w:t>
            </w:r>
            <w:r>
              <w:rPr>
                <w:rFonts w:eastAsiaTheme="minorEastAsia"/>
                <w:b w:val="0"/>
                <w:smallCaps w:val="0"/>
                <w:noProof/>
                <w:kern w:val="2"/>
                <w:sz w:val="24"/>
                <w:szCs w:val="24"/>
                <w14:ligatures w14:val="standardContextual"/>
              </w:rPr>
              <w:tab/>
            </w:r>
            <w:r w:rsidRPr="00692F81">
              <w:rPr>
                <w:rStyle w:val="Lienhypertexte"/>
                <w:noProof/>
              </w:rPr>
              <w:t>Concertation</w:t>
            </w:r>
            <w:r>
              <w:rPr>
                <w:noProof/>
                <w:webHidden/>
              </w:rPr>
              <w:tab/>
            </w:r>
            <w:r>
              <w:rPr>
                <w:noProof/>
                <w:webHidden/>
              </w:rPr>
              <w:fldChar w:fldCharType="begin"/>
            </w:r>
            <w:r>
              <w:rPr>
                <w:noProof/>
                <w:webHidden/>
              </w:rPr>
              <w:instrText xml:space="preserve"> PAGEREF _Toc179277432 \h </w:instrText>
            </w:r>
            <w:r>
              <w:rPr>
                <w:noProof/>
                <w:webHidden/>
              </w:rPr>
            </w:r>
            <w:r>
              <w:rPr>
                <w:noProof/>
                <w:webHidden/>
              </w:rPr>
              <w:fldChar w:fldCharType="separate"/>
            </w:r>
            <w:r w:rsidR="007F7541">
              <w:rPr>
                <w:noProof/>
                <w:webHidden/>
              </w:rPr>
              <w:t>47</w:t>
            </w:r>
            <w:r>
              <w:rPr>
                <w:noProof/>
                <w:webHidden/>
              </w:rPr>
              <w:fldChar w:fldCharType="end"/>
            </w:r>
          </w:hyperlink>
        </w:p>
        <w:p w14:paraId="26CC5B5A" w14:textId="65F72856" w:rsidR="00666805" w:rsidRDefault="00666805">
          <w:pPr>
            <w:pStyle w:val="TM3"/>
            <w:rPr>
              <w:rFonts w:eastAsiaTheme="minorEastAsia" w:cstheme="minorBidi"/>
              <w:smallCaps w:val="0"/>
              <w:noProof/>
              <w:kern w:val="2"/>
              <w:sz w:val="24"/>
              <w:szCs w:val="24"/>
              <w14:ligatures w14:val="standardContextual"/>
            </w:rPr>
          </w:pPr>
          <w:hyperlink w:anchor="_Toc179277433" w:history="1">
            <w:r w:rsidRPr="00692F81">
              <w:rPr>
                <w:rStyle w:val="Lienhypertexte"/>
                <w:noProof/>
              </w:rPr>
              <w:t>6.1.1</w:t>
            </w:r>
            <w:r>
              <w:rPr>
                <w:rFonts w:eastAsiaTheme="minorEastAsia" w:cstheme="minorBidi"/>
                <w:smallCaps w:val="0"/>
                <w:noProof/>
                <w:kern w:val="2"/>
                <w:sz w:val="24"/>
                <w:szCs w:val="24"/>
                <w14:ligatures w14:val="standardContextual"/>
              </w:rPr>
              <w:tab/>
            </w:r>
            <w:r w:rsidRPr="00692F81">
              <w:rPr>
                <w:rStyle w:val="Lienhypertexte"/>
                <w:noProof/>
              </w:rPr>
              <w:t>Apports à la phase « stratégie »</w:t>
            </w:r>
            <w:r>
              <w:rPr>
                <w:noProof/>
                <w:webHidden/>
              </w:rPr>
              <w:tab/>
            </w:r>
            <w:r>
              <w:rPr>
                <w:noProof/>
                <w:webHidden/>
              </w:rPr>
              <w:fldChar w:fldCharType="begin"/>
            </w:r>
            <w:r>
              <w:rPr>
                <w:noProof/>
                <w:webHidden/>
              </w:rPr>
              <w:instrText xml:space="preserve"> PAGEREF _Toc179277433 \h </w:instrText>
            </w:r>
            <w:r>
              <w:rPr>
                <w:noProof/>
                <w:webHidden/>
              </w:rPr>
            </w:r>
            <w:r>
              <w:rPr>
                <w:noProof/>
                <w:webHidden/>
              </w:rPr>
              <w:fldChar w:fldCharType="separate"/>
            </w:r>
            <w:r w:rsidR="007F7541">
              <w:rPr>
                <w:noProof/>
                <w:webHidden/>
              </w:rPr>
              <w:t>47</w:t>
            </w:r>
            <w:r>
              <w:rPr>
                <w:noProof/>
                <w:webHidden/>
              </w:rPr>
              <w:fldChar w:fldCharType="end"/>
            </w:r>
          </w:hyperlink>
        </w:p>
        <w:p w14:paraId="08D95FB2" w14:textId="28B71E24" w:rsidR="00666805" w:rsidRDefault="00666805">
          <w:pPr>
            <w:pStyle w:val="TM3"/>
            <w:rPr>
              <w:rFonts w:eastAsiaTheme="minorEastAsia" w:cstheme="minorBidi"/>
              <w:smallCaps w:val="0"/>
              <w:noProof/>
              <w:kern w:val="2"/>
              <w:sz w:val="24"/>
              <w:szCs w:val="24"/>
              <w14:ligatures w14:val="standardContextual"/>
            </w:rPr>
          </w:pPr>
          <w:hyperlink w:anchor="_Toc179277434" w:history="1">
            <w:r w:rsidRPr="00692F81">
              <w:rPr>
                <w:rStyle w:val="Lienhypertexte"/>
                <w:noProof/>
              </w:rPr>
              <w:t>6.1.2</w:t>
            </w:r>
            <w:r>
              <w:rPr>
                <w:rFonts w:eastAsiaTheme="minorEastAsia" w:cstheme="minorBidi"/>
                <w:smallCaps w:val="0"/>
                <w:noProof/>
                <w:kern w:val="2"/>
                <w:sz w:val="24"/>
                <w:szCs w:val="24"/>
                <w14:ligatures w14:val="standardContextual"/>
              </w:rPr>
              <w:tab/>
            </w:r>
            <w:r w:rsidRPr="00692F81">
              <w:rPr>
                <w:rStyle w:val="Lienhypertexte"/>
                <w:noProof/>
              </w:rPr>
              <w:t>Apports à la phase « programme d’actions »</w:t>
            </w:r>
            <w:r>
              <w:rPr>
                <w:noProof/>
                <w:webHidden/>
              </w:rPr>
              <w:tab/>
            </w:r>
            <w:r>
              <w:rPr>
                <w:noProof/>
                <w:webHidden/>
              </w:rPr>
              <w:fldChar w:fldCharType="begin"/>
            </w:r>
            <w:r>
              <w:rPr>
                <w:noProof/>
                <w:webHidden/>
              </w:rPr>
              <w:instrText xml:space="preserve"> PAGEREF _Toc179277434 \h </w:instrText>
            </w:r>
            <w:r>
              <w:rPr>
                <w:noProof/>
                <w:webHidden/>
              </w:rPr>
            </w:r>
            <w:r>
              <w:rPr>
                <w:noProof/>
                <w:webHidden/>
              </w:rPr>
              <w:fldChar w:fldCharType="separate"/>
            </w:r>
            <w:r w:rsidR="007F7541">
              <w:rPr>
                <w:noProof/>
                <w:webHidden/>
              </w:rPr>
              <w:t>49</w:t>
            </w:r>
            <w:r>
              <w:rPr>
                <w:noProof/>
                <w:webHidden/>
              </w:rPr>
              <w:fldChar w:fldCharType="end"/>
            </w:r>
          </w:hyperlink>
        </w:p>
        <w:p w14:paraId="1638D488" w14:textId="30C31F1D" w:rsidR="00666805" w:rsidRDefault="00666805">
          <w:pPr>
            <w:pStyle w:val="TM2"/>
            <w:rPr>
              <w:rFonts w:eastAsiaTheme="minorEastAsia"/>
              <w:b w:val="0"/>
              <w:smallCaps w:val="0"/>
              <w:noProof/>
              <w:kern w:val="2"/>
              <w:sz w:val="24"/>
              <w:szCs w:val="24"/>
              <w14:ligatures w14:val="standardContextual"/>
            </w:rPr>
          </w:pPr>
          <w:hyperlink w:anchor="_Toc179277435" w:history="1">
            <w:r w:rsidRPr="00692F81">
              <w:rPr>
                <w:rStyle w:val="Lienhypertexte"/>
                <w:noProof/>
              </w:rPr>
              <w:t>6.2</w:t>
            </w:r>
            <w:r>
              <w:rPr>
                <w:rFonts w:eastAsiaTheme="minorEastAsia"/>
                <w:b w:val="0"/>
                <w:smallCaps w:val="0"/>
                <w:noProof/>
                <w:kern w:val="2"/>
                <w:sz w:val="24"/>
                <w:szCs w:val="24"/>
                <w14:ligatures w14:val="standardContextual"/>
              </w:rPr>
              <w:tab/>
            </w:r>
            <w:r w:rsidRPr="00692F81">
              <w:rPr>
                <w:rStyle w:val="Lienhypertexte"/>
                <w:noProof/>
              </w:rPr>
              <w:t>Comité Technique (COTECH) et Comité de Pilotage (COPIL)</w:t>
            </w:r>
            <w:r>
              <w:rPr>
                <w:noProof/>
                <w:webHidden/>
              </w:rPr>
              <w:tab/>
            </w:r>
            <w:r>
              <w:rPr>
                <w:noProof/>
                <w:webHidden/>
              </w:rPr>
              <w:fldChar w:fldCharType="begin"/>
            </w:r>
            <w:r>
              <w:rPr>
                <w:noProof/>
                <w:webHidden/>
              </w:rPr>
              <w:instrText xml:space="preserve"> PAGEREF _Toc179277435 \h </w:instrText>
            </w:r>
            <w:r>
              <w:rPr>
                <w:noProof/>
                <w:webHidden/>
              </w:rPr>
            </w:r>
            <w:r>
              <w:rPr>
                <w:noProof/>
                <w:webHidden/>
              </w:rPr>
              <w:fldChar w:fldCharType="separate"/>
            </w:r>
            <w:r w:rsidR="007F7541">
              <w:rPr>
                <w:noProof/>
                <w:webHidden/>
              </w:rPr>
              <w:t>50</w:t>
            </w:r>
            <w:r>
              <w:rPr>
                <w:noProof/>
                <w:webHidden/>
              </w:rPr>
              <w:fldChar w:fldCharType="end"/>
            </w:r>
          </w:hyperlink>
        </w:p>
        <w:p w14:paraId="1D3E26F9" w14:textId="742D88F1" w:rsidR="00666805" w:rsidRDefault="00666805">
          <w:pPr>
            <w:pStyle w:val="TM3"/>
            <w:rPr>
              <w:rFonts w:eastAsiaTheme="minorEastAsia" w:cstheme="minorBidi"/>
              <w:smallCaps w:val="0"/>
              <w:noProof/>
              <w:kern w:val="2"/>
              <w:sz w:val="24"/>
              <w:szCs w:val="24"/>
              <w14:ligatures w14:val="standardContextual"/>
            </w:rPr>
          </w:pPr>
          <w:hyperlink w:anchor="_Toc179277436" w:history="1">
            <w:r w:rsidRPr="00692F81">
              <w:rPr>
                <w:rStyle w:val="Lienhypertexte"/>
                <w:noProof/>
              </w:rPr>
              <w:t>6.2.1</w:t>
            </w:r>
            <w:r>
              <w:rPr>
                <w:rFonts w:eastAsiaTheme="minorEastAsia" w:cstheme="minorBidi"/>
                <w:smallCaps w:val="0"/>
                <w:noProof/>
                <w:kern w:val="2"/>
                <w:sz w:val="24"/>
                <w:szCs w:val="24"/>
                <w14:ligatures w14:val="standardContextual"/>
              </w:rPr>
              <w:tab/>
            </w:r>
            <w:r w:rsidRPr="00692F81">
              <w:rPr>
                <w:rStyle w:val="Lienhypertexte"/>
                <w:noProof/>
              </w:rPr>
              <w:t>Les modalités</w:t>
            </w:r>
            <w:r>
              <w:rPr>
                <w:noProof/>
                <w:webHidden/>
              </w:rPr>
              <w:tab/>
            </w:r>
            <w:r>
              <w:rPr>
                <w:noProof/>
                <w:webHidden/>
              </w:rPr>
              <w:fldChar w:fldCharType="begin"/>
            </w:r>
            <w:r>
              <w:rPr>
                <w:noProof/>
                <w:webHidden/>
              </w:rPr>
              <w:instrText xml:space="preserve"> PAGEREF _Toc179277436 \h </w:instrText>
            </w:r>
            <w:r>
              <w:rPr>
                <w:noProof/>
                <w:webHidden/>
              </w:rPr>
            </w:r>
            <w:r>
              <w:rPr>
                <w:noProof/>
                <w:webHidden/>
              </w:rPr>
              <w:fldChar w:fldCharType="separate"/>
            </w:r>
            <w:r w:rsidR="007F7541">
              <w:rPr>
                <w:noProof/>
                <w:webHidden/>
              </w:rPr>
              <w:t>50</w:t>
            </w:r>
            <w:r>
              <w:rPr>
                <w:noProof/>
                <w:webHidden/>
              </w:rPr>
              <w:fldChar w:fldCharType="end"/>
            </w:r>
          </w:hyperlink>
        </w:p>
        <w:p w14:paraId="7469CF75" w14:textId="140C8823" w:rsidR="00666805" w:rsidRDefault="00666805">
          <w:pPr>
            <w:pStyle w:val="TM3"/>
            <w:rPr>
              <w:rFonts w:eastAsiaTheme="minorEastAsia" w:cstheme="minorBidi"/>
              <w:smallCaps w:val="0"/>
              <w:noProof/>
              <w:kern w:val="2"/>
              <w:sz w:val="24"/>
              <w:szCs w:val="24"/>
              <w14:ligatures w14:val="standardContextual"/>
            </w:rPr>
          </w:pPr>
          <w:hyperlink w:anchor="_Toc179277437" w:history="1">
            <w:r w:rsidRPr="00692F81">
              <w:rPr>
                <w:rStyle w:val="Lienhypertexte"/>
                <w:noProof/>
              </w:rPr>
              <w:t>6.2.2</w:t>
            </w:r>
            <w:r>
              <w:rPr>
                <w:rFonts w:eastAsiaTheme="minorEastAsia" w:cstheme="minorBidi"/>
                <w:smallCaps w:val="0"/>
                <w:noProof/>
                <w:kern w:val="2"/>
                <w:sz w:val="24"/>
                <w:szCs w:val="24"/>
                <w14:ligatures w14:val="standardContextual"/>
              </w:rPr>
              <w:tab/>
            </w:r>
            <w:r w:rsidRPr="00692F81">
              <w:rPr>
                <w:rStyle w:val="Lienhypertexte"/>
                <w:noProof/>
              </w:rPr>
              <w:t>Remarques et Apports des COTECH et COPIL à la construction du PCAET</w:t>
            </w:r>
            <w:r>
              <w:rPr>
                <w:noProof/>
                <w:webHidden/>
              </w:rPr>
              <w:tab/>
            </w:r>
            <w:r>
              <w:rPr>
                <w:noProof/>
                <w:webHidden/>
              </w:rPr>
              <w:fldChar w:fldCharType="begin"/>
            </w:r>
            <w:r>
              <w:rPr>
                <w:noProof/>
                <w:webHidden/>
              </w:rPr>
              <w:instrText xml:space="preserve"> PAGEREF _Toc179277437 \h </w:instrText>
            </w:r>
            <w:r>
              <w:rPr>
                <w:noProof/>
                <w:webHidden/>
              </w:rPr>
            </w:r>
            <w:r>
              <w:rPr>
                <w:noProof/>
                <w:webHidden/>
              </w:rPr>
              <w:fldChar w:fldCharType="separate"/>
            </w:r>
            <w:r w:rsidR="007F7541">
              <w:rPr>
                <w:noProof/>
                <w:webHidden/>
              </w:rPr>
              <w:t>51</w:t>
            </w:r>
            <w:r>
              <w:rPr>
                <w:noProof/>
                <w:webHidden/>
              </w:rPr>
              <w:fldChar w:fldCharType="end"/>
            </w:r>
          </w:hyperlink>
        </w:p>
        <w:p w14:paraId="3958703E" w14:textId="1A48B3C4" w:rsidR="009D5530" w:rsidRPr="00E1705D" w:rsidRDefault="007E57EC">
          <w:pPr>
            <w:rPr>
              <w:b/>
              <w:bCs/>
              <w:highlight w:val="yellow"/>
            </w:rPr>
          </w:pPr>
          <w:r w:rsidRPr="00E1705D">
            <w:rPr>
              <w:b/>
              <w:bCs/>
              <w:highlight w:val="yellow"/>
            </w:rPr>
            <w:fldChar w:fldCharType="end"/>
          </w:r>
        </w:p>
      </w:sdtContent>
    </w:sdt>
    <w:p w14:paraId="10D6D33E" w14:textId="77777777" w:rsidR="009D5530" w:rsidRPr="00E1705D" w:rsidRDefault="007E57EC">
      <w:pPr>
        <w:rPr>
          <w:highlight w:val="yellow"/>
        </w:rPr>
      </w:pPr>
      <w:r w:rsidRPr="00E1705D">
        <w:rPr>
          <w:rFonts w:eastAsiaTheme="majorEastAsia"/>
          <w:highlight w:val="yellow"/>
        </w:rPr>
        <w:br w:type="page"/>
      </w:r>
    </w:p>
    <w:p w14:paraId="1C72A766" w14:textId="77777777" w:rsidR="009D5530" w:rsidRPr="00E1705D" w:rsidRDefault="007E57EC" w:rsidP="00DC099E">
      <w:pPr>
        <w:pStyle w:val="SGBDS-Titre1"/>
      </w:pPr>
      <w:bookmarkStart w:id="1" w:name="_Toc83048795"/>
      <w:bookmarkStart w:id="2" w:name="_Toc179277389"/>
      <w:r w:rsidRPr="00E1705D">
        <w:lastRenderedPageBreak/>
        <w:t>Contexte règlementaire</w:t>
      </w:r>
      <w:bookmarkEnd w:id="1"/>
      <w:bookmarkEnd w:id="2"/>
    </w:p>
    <w:p w14:paraId="758CBE88" w14:textId="77777777" w:rsidR="009D5530" w:rsidRPr="00CC22B1" w:rsidRDefault="007E57EC" w:rsidP="00055A7C">
      <w:pPr>
        <w:pStyle w:val="QBO-Texte"/>
      </w:pPr>
      <w:r w:rsidRPr="00CC22B1">
        <w:t>Le Plan Climat Air Energie Territorial (PCAET) est défini à l’article L. 229-26 du Code de l’Environnement et précisé à l’article R. 229-51.</w:t>
      </w:r>
    </w:p>
    <w:p w14:paraId="33765660" w14:textId="77777777" w:rsidR="009D5530" w:rsidRPr="00CC22B1" w:rsidRDefault="007E57EC" w:rsidP="00055A7C">
      <w:pPr>
        <w:pStyle w:val="QBO-Texte"/>
      </w:pPr>
      <w:r w:rsidRPr="00CC22B1">
        <w:t>Ce document cadre de la politique énergétique et climatique de la collectivité est un projet territorial de développement durable dont la finalité est la lutte contre le changement climatique et l’adaptation du territoire. Il doit être révisé tous les 6 ans.</w:t>
      </w:r>
    </w:p>
    <w:p w14:paraId="5DDC7B29" w14:textId="77777777" w:rsidR="009D5530" w:rsidRPr="00CC22B1" w:rsidRDefault="007E57EC" w:rsidP="00055A7C">
      <w:pPr>
        <w:pStyle w:val="QBO-Texte"/>
      </w:pPr>
      <w:r w:rsidRPr="00CC22B1">
        <w:t>Le PCAET doit être élaboré au niveau intercommunal. Ainsi, les établissements publics de coopération intercommunale de plus de 20 000 habitants existants au 1</w:t>
      </w:r>
      <w:r w:rsidRPr="00CC22B1">
        <w:rPr>
          <w:vertAlign w:val="superscript"/>
        </w:rPr>
        <w:t>er</w:t>
      </w:r>
      <w:r w:rsidRPr="00CC22B1">
        <w:t xml:space="preserve"> janvier 2017, doivent élaborer leur PCAET avant le 31 décembre 2018.</w:t>
      </w:r>
    </w:p>
    <w:p w14:paraId="6E6DCF60" w14:textId="77777777" w:rsidR="009D5530" w:rsidRPr="00CC22B1" w:rsidRDefault="007E57EC" w:rsidP="00055A7C">
      <w:pPr>
        <w:pStyle w:val="QBO-Texte"/>
      </w:pPr>
      <w:proofErr w:type="gramStart"/>
      <w:r w:rsidRPr="00CC22B1">
        <w:t>Suite à</w:t>
      </w:r>
      <w:proofErr w:type="gramEnd"/>
      <w:r w:rsidRPr="00CC22B1">
        <w:t xml:space="preserve"> l’ordonnance n°2016-1058 du 3 août 2016 et au décret n°2016-1110 du 11 août 2016, le PCAET est soumis à </w:t>
      </w:r>
      <w:r w:rsidRPr="00CC22B1">
        <w:rPr>
          <w:b/>
        </w:rPr>
        <w:t>évaluation environnementale des projets, plans et programmes</w:t>
      </w:r>
      <w:r w:rsidRPr="00CC22B1">
        <w:t>. Cette évaluation environnementale est une démarche continue et itérative tout au long du projet de PCAET. Elle consiste, à partir d’un état initial de l’environnement et des enjeux territoriaux identifiés, en une analyse des effets sur l’environnement du projet de PCAET avec pour objectif de prévenir les conséquences dommageables sur l’environnement.</w:t>
      </w:r>
    </w:p>
    <w:p w14:paraId="05B97CE8" w14:textId="77777777" w:rsidR="009D5530" w:rsidRPr="00CC22B1" w:rsidRDefault="007E57EC" w:rsidP="00055A7C">
      <w:pPr>
        <w:pStyle w:val="QBO-Texte"/>
      </w:pPr>
      <w:r w:rsidRPr="00CC22B1">
        <w:t xml:space="preserve">La démarche générale est la suivante : </w:t>
      </w:r>
    </w:p>
    <w:p w14:paraId="37F97A77" w14:textId="56F24F88" w:rsidR="009D5530" w:rsidRPr="00E1705D" w:rsidRDefault="007E57EC" w:rsidP="00055A7C">
      <w:pPr>
        <w:pStyle w:val="QBO-Puces1"/>
      </w:pPr>
      <w:r w:rsidRPr="00E1705D">
        <w:t>Etudier et intégrer la connaissance des enjeux environnementaux</w:t>
      </w:r>
      <w:r w:rsidR="00CC22B1">
        <w:t> ;</w:t>
      </w:r>
    </w:p>
    <w:p w14:paraId="78DC0B2F" w14:textId="6B7FBA67" w:rsidR="009D5530" w:rsidRPr="00E1705D" w:rsidRDefault="007E57EC" w:rsidP="00055A7C">
      <w:pPr>
        <w:pStyle w:val="QBO-Puces1"/>
      </w:pPr>
      <w:r w:rsidRPr="00E1705D">
        <w:t>Contribuer par un processus d’élaboration à optimiser le PCAET afin de limiter ou réduire ses effets probables sur l’environnement</w:t>
      </w:r>
      <w:r w:rsidR="00CC22B1">
        <w:t> ;</w:t>
      </w:r>
    </w:p>
    <w:p w14:paraId="2CA5EFC1" w14:textId="26F29E0F" w:rsidR="009D5530" w:rsidRPr="00E1705D" w:rsidRDefault="007E57EC" w:rsidP="00055A7C">
      <w:pPr>
        <w:pStyle w:val="QBO-Puces1"/>
      </w:pPr>
      <w:r w:rsidRPr="00E1705D">
        <w:t>Définir la stratégie et les actions du PCAET, leurs incidences sur l’environnement et les sites Natura 2000 et les mesures d’évitement et de réduction des impacts</w:t>
      </w:r>
      <w:r w:rsidR="00CC22B1">
        <w:t> ;</w:t>
      </w:r>
    </w:p>
    <w:p w14:paraId="74EB8551" w14:textId="40154696" w:rsidR="009D5530" w:rsidRPr="00E1705D" w:rsidRDefault="007E57EC" w:rsidP="00055A7C">
      <w:pPr>
        <w:pStyle w:val="QBO-Puces1"/>
      </w:pPr>
      <w:r w:rsidRPr="00E1705D">
        <w:t>Redéfinir les actions au regard des impacts résiduels non évitables et non réductibles</w:t>
      </w:r>
      <w:r w:rsidR="00CC22B1">
        <w:t> ;</w:t>
      </w:r>
    </w:p>
    <w:p w14:paraId="0A667C33" w14:textId="71900DAA" w:rsidR="009D5530" w:rsidRPr="00E1705D" w:rsidRDefault="007E57EC" w:rsidP="00055A7C">
      <w:pPr>
        <w:pStyle w:val="QBO-Puces1"/>
      </w:pPr>
      <w:r w:rsidRPr="00E1705D">
        <w:t>Redéfinir leurs incidences sur l’environnement et les sites Natura 2000 et les mesures d’évitement et de réduction des impacts selon des critères environnementaux, techniques, économiques et sociaux</w:t>
      </w:r>
      <w:r w:rsidR="00CC22B1">
        <w:t> ;</w:t>
      </w:r>
    </w:p>
    <w:p w14:paraId="18B7691A" w14:textId="63C98537" w:rsidR="009D5530" w:rsidRPr="00E1705D" w:rsidRDefault="007E57EC" w:rsidP="00055A7C">
      <w:pPr>
        <w:pStyle w:val="QBO-Puces1"/>
      </w:pPr>
      <w:r w:rsidRPr="00E1705D">
        <w:t>Justifier le choix des actions retenues</w:t>
      </w:r>
      <w:r w:rsidR="00CC22B1">
        <w:t> ;</w:t>
      </w:r>
    </w:p>
    <w:p w14:paraId="4F47C33E" w14:textId="77777777" w:rsidR="009D5530" w:rsidRPr="00E1705D" w:rsidRDefault="007E57EC" w:rsidP="00055A7C">
      <w:pPr>
        <w:pStyle w:val="QBO-Puces1"/>
      </w:pPr>
      <w:r w:rsidRPr="00E1705D">
        <w:t>Rédiger l’évaluation environnementale soumise ensuite à l’autorité environnementale dans le cadre de l’instruction du dossier.</w:t>
      </w:r>
    </w:p>
    <w:p w14:paraId="0F19EF3A" w14:textId="77777777" w:rsidR="009D5530" w:rsidRPr="00E1705D" w:rsidRDefault="007E57EC">
      <w:pPr>
        <w:spacing w:after="200" w:line="276" w:lineRule="auto"/>
        <w:jc w:val="left"/>
        <w:rPr>
          <w:highlight w:val="yellow"/>
        </w:rPr>
      </w:pPr>
      <w:r w:rsidRPr="00E1705D">
        <w:rPr>
          <w:highlight w:val="yellow"/>
        </w:rPr>
        <w:br w:type="page"/>
      </w:r>
    </w:p>
    <w:p w14:paraId="70FB4568" w14:textId="77777777" w:rsidR="009D5530" w:rsidRPr="00E1705D" w:rsidRDefault="007E57EC">
      <w:pPr>
        <w:rPr>
          <w:highlight w:val="yellow"/>
        </w:rPr>
      </w:pPr>
      <w:r w:rsidRPr="00E1705D">
        <w:rPr>
          <w:noProof/>
        </w:rPr>
        <w:lastRenderedPageBreak/>
        <mc:AlternateContent>
          <mc:Choice Requires="wpg">
            <w:drawing>
              <wp:inline distT="0" distB="0" distL="0" distR="0" wp14:anchorId="73CA242A" wp14:editId="2CDA5E7D">
                <wp:extent cx="5759450" cy="7376438"/>
                <wp:effectExtent l="0" t="0" r="0" b="0"/>
                <wp:docPr id="27" name="Image 726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1" name="Image 7261" descr="Une image contenant texte&#10;&#10;Description générée automatiquement"/>
                        <pic:cNvPicPr>
                          <a:picLocks noChangeAspect="1"/>
                        </pic:cNvPicPr>
                      </pic:nvPicPr>
                      <pic:blipFill>
                        <a:blip r:embed="rId16"/>
                        <a:stretch/>
                      </pic:blipFill>
                      <pic:spPr bwMode="auto">
                        <a:xfrm>
                          <a:off x="0" y="0"/>
                          <a:ext cx="5759450" cy="7376438"/>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mso-wrap-distance-left:0.0pt;mso-wrap-distance-top:0.0pt;mso-wrap-distance-right:0.0pt;mso-wrap-distance-bottom:0.0pt;width:453.5pt;height:580.8pt;" stroked="f">
                <v:path textboxrect="0,0,0,0"/>
                <v:imagedata r:id="rId36" o:title=""/>
              </v:shape>
            </w:pict>
          </mc:Fallback>
        </mc:AlternateContent>
      </w:r>
    </w:p>
    <w:p w14:paraId="72A28F9A" w14:textId="77777777" w:rsidR="009D5530" w:rsidRPr="00E1705D" w:rsidRDefault="007E57EC">
      <w:pPr>
        <w:spacing w:after="200" w:line="276" w:lineRule="auto"/>
        <w:jc w:val="left"/>
        <w:rPr>
          <w:highlight w:val="yellow"/>
        </w:rPr>
      </w:pPr>
      <w:r w:rsidRPr="00E1705D">
        <w:rPr>
          <w:highlight w:val="yellow"/>
        </w:rPr>
        <w:br w:type="page"/>
      </w:r>
    </w:p>
    <w:p w14:paraId="616C0BA4" w14:textId="77777777" w:rsidR="009D5530" w:rsidRPr="00DF6A99" w:rsidRDefault="007E57EC" w:rsidP="00DC099E">
      <w:pPr>
        <w:pStyle w:val="SGBDS-Titre1"/>
      </w:pPr>
      <w:bookmarkStart w:id="3" w:name="_Toc83048796"/>
      <w:bookmarkStart w:id="4" w:name="_Toc179277390"/>
      <w:r w:rsidRPr="00DF6A99">
        <w:lastRenderedPageBreak/>
        <w:t>Synthèse de l’état initial</w:t>
      </w:r>
      <w:bookmarkStart w:id="5" w:name="_Toc83048797"/>
      <w:bookmarkEnd w:id="3"/>
      <w:bookmarkEnd w:id="4"/>
    </w:p>
    <w:p w14:paraId="090786CC" w14:textId="77777777" w:rsidR="009D5530" w:rsidRPr="00D23224" w:rsidRDefault="007E57EC" w:rsidP="00C30AB9">
      <w:pPr>
        <w:pStyle w:val="Titre2ALTEREA2018"/>
      </w:pPr>
      <w:bookmarkStart w:id="6" w:name="_Toc179277391"/>
      <w:r w:rsidRPr="00D23224">
        <w:t>Milieux naturels et physiques</w:t>
      </w:r>
      <w:bookmarkEnd w:id="6"/>
      <w:r w:rsidRPr="00D23224">
        <w:t xml:space="preserve"> </w:t>
      </w:r>
      <w:bookmarkEnd w:id="5"/>
    </w:p>
    <w:p w14:paraId="3211C1DB" w14:textId="0737458F" w:rsidR="00DF6A99" w:rsidRPr="00CC22B1" w:rsidRDefault="00E1705D" w:rsidP="00055A7C">
      <w:pPr>
        <w:pStyle w:val="QBO-Texte"/>
      </w:pPr>
      <w:r w:rsidRPr="00CC22B1">
        <w:rPr>
          <w:szCs w:val="28"/>
        </w:rPr>
        <w:t xml:space="preserve">Située dans la région Bretagne, dans le département du Finistère (29), </w:t>
      </w:r>
      <w:r w:rsidR="00DF6A99" w:rsidRPr="00CC22B1">
        <w:t xml:space="preserve">la </w:t>
      </w:r>
      <w:r w:rsidR="00CC22B1">
        <w:t>communauté d’agglomération</w:t>
      </w:r>
      <w:r w:rsidR="00DF6A99" w:rsidRPr="00CC22B1">
        <w:t xml:space="preserve"> de Quimper Bretagne Occidentale</w:t>
      </w:r>
      <w:r w:rsidR="00784652">
        <w:t xml:space="preserve"> (CA QBO)</w:t>
      </w:r>
      <w:r w:rsidR="00DF6A99" w:rsidRPr="00CC22B1">
        <w:t xml:space="preserve"> est née le 1</w:t>
      </w:r>
      <w:r w:rsidR="00DF6A99" w:rsidRPr="00CC22B1">
        <w:rPr>
          <w:vertAlign w:val="superscript"/>
        </w:rPr>
        <w:t>er</w:t>
      </w:r>
      <w:r w:rsidR="00DF6A99" w:rsidRPr="00CC22B1">
        <w:t xml:space="preserve"> janvier 2017 de la fusion de Quimper </w:t>
      </w:r>
      <w:r w:rsidR="00CC22B1">
        <w:t>c</w:t>
      </w:r>
      <w:r w:rsidR="00DF6A99" w:rsidRPr="00CC22B1">
        <w:t xml:space="preserve">ommunauté et la </w:t>
      </w:r>
      <w:r w:rsidR="00CC22B1">
        <w:t>c</w:t>
      </w:r>
      <w:r w:rsidR="00DF6A99" w:rsidRPr="00CC22B1">
        <w:t xml:space="preserve">ommunauté de </w:t>
      </w:r>
      <w:r w:rsidR="00CC22B1">
        <w:t>c</w:t>
      </w:r>
      <w:r w:rsidR="00DF6A99" w:rsidRPr="00CC22B1">
        <w:t xml:space="preserve">ommunes du Pays </w:t>
      </w:r>
      <w:proofErr w:type="spellStart"/>
      <w:r w:rsidR="00DF6A99" w:rsidRPr="00CC22B1">
        <w:t>Glazik</w:t>
      </w:r>
      <w:proofErr w:type="spellEnd"/>
      <w:r w:rsidR="00DF6A99" w:rsidRPr="00CC22B1">
        <w:t xml:space="preserve">. Aujourd’hui, la </w:t>
      </w:r>
      <w:r w:rsidR="00CC22B1">
        <w:t>communauté d’agglomération</w:t>
      </w:r>
      <w:r w:rsidR="00DF6A99" w:rsidRPr="00CC22B1">
        <w:t xml:space="preserve"> Quimper Bretagne Occidentale regroupe 14 communes : Briec, Edern, Ergué-Gabéric, Guengat, Landrévarzec, Landudal, Langolen, Locronan, Plogonnec, Plomelin, Plonéis, Pluguffan, Quéménéven et Quimper.</w:t>
      </w:r>
    </w:p>
    <w:p w14:paraId="3D806B28" w14:textId="1563BD95" w:rsidR="00DF6A99" w:rsidRPr="00CC22B1" w:rsidRDefault="00DF6A99" w:rsidP="00055A7C">
      <w:pPr>
        <w:pStyle w:val="QBO-Texte"/>
      </w:pPr>
      <w:r w:rsidRPr="00CC22B1">
        <w:t xml:space="preserve">En 2019, la </w:t>
      </w:r>
      <w:r w:rsidR="00CC22B1">
        <w:t>communauté d’agglomération</w:t>
      </w:r>
      <w:r w:rsidRPr="00CC22B1">
        <w:t xml:space="preserve"> compte 100 994 habitants, sur un territoire d’environ 479 km</w:t>
      </w:r>
      <w:r w:rsidRPr="00CC22B1">
        <w:rPr>
          <w:vertAlign w:val="superscript"/>
        </w:rPr>
        <w:t>2</w:t>
      </w:r>
      <w:r w:rsidRPr="00CC22B1">
        <w:t xml:space="preserve">. La densité moyenne sur le territoire est de 211 habitants/km². La ville de Quimper présente la densité de population la plus élevée, avec près de 750 habitants/km². Parallèlement, Quéménéven est la commune la moins peuplée et la moins dense, avec une densité de population d’un peu moins de 40 habitants/km². </w:t>
      </w:r>
    </w:p>
    <w:p w14:paraId="75801882" w14:textId="29F5FD2A" w:rsidR="00DF6A99" w:rsidRPr="00CC22B1" w:rsidRDefault="00DF6A99" w:rsidP="00055A7C">
      <w:pPr>
        <w:pStyle w:val="QBO-Texte"/>
      </w:pPr>
      <w:r w:rsidRPr="00CC22B1">
        <w:t xml:space="preserve">Le territoire de Quimper Bretagne Occidentale présente une partie littorale avec un développement urbain élevé ces dernières décennies et une partie agricole avec un maillage bocager toujours très identifiable. Le relief y est plutôt doux même si certaines vallées et certains sommets apportent des paysages variés entre plateaux, collines et vallons. Le sous-sol y est majoritairement granitique et une vigilance quant à l’exposition au radon est à relever.  </w:t>
      </w:r>
    </w:p>
    <w:p w14:paraId="333B71A2" w14:textId="77777777" w:rsidR="00DF6A99" w:rsidRDefault="00DF6A99" w:rsidP="00DF6A99">
      <w:pPr>
        <w:keepNext/>
        <w:ind w:right="283"/>
      </w:pPr>
      <w:r>
        <w:rPr>
          <w:noProof/>
        </w:rPr>
        <w:drawing>
          <wp:inline distT="0" distB="0" distL="0" distR="0" wp14:anchorId="750E47B8" wp14:editId="3FE251D5">
            <wp:extent cx="5760720" cy="4073734"/>
            <wp:effectExtent l="0" t="0" r="0" b="3175"/>
            <wp:docPr id="229" name="Image 229" descr="Une image contenant texte, carte, atl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 229" descr="Une image contenant texte, carte, atlas&#10;&#10;Description générée automatiquemen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4073734"/>
                    </a:xfrm>
                    <a:prstGeom prst="rect">
                      <a:avLst/>
                    </a:prstGeom>
                  </pic:spPr>
                </pic:pic>
              </a:graphicData>
            </a:graphic>
          </wp:inline>
        </w:drawing>
      </w:r>
    </w:p>
    <w:p w14:paraId="6076F0DE" w14:textId="42153ACB" w:rsidR="00DF6A99" w:rsidRPr="00DF6A99" w:rsidRDefault="00DF6A99" w:rsidP="00DF6A99">
      <w:pPr>
        <w:pStyle w:val="Lgende"/>
        <w:rPr>
          <w:rStyle w:val="SourcesCar"/>
          <w:rFonts w:asciiTheme="minorHAnsi" w:hAnsiTheme="minorHAnsi" w:cstheme="minorHAnsi"/>
          <w:b w:val="0"/>
          <w:i/>
          <w:iCs/>
          <w:kern w:val="2"/>
          <w:sz w:val="20"/>
          <w:szCs w:val="20"/>
          <w:lang w:val="en-US" w:eastAsia="en-US"/>
          <w14:ligatures w14:val="standardContextual"/>
        </w:rPr>
      </w:pPr>
      <w:r>
        <w:t xml:space="preserve">Figure </w:t>
      </w:r>
      <w:r w:rsidR="005E669F">
        <w:fldChar w:fldCharType="begin"/>
      </w:r>
      <w:r w:rsidR="005E669F">
        <w:instrText xml:space="preserve"> SEQ Figure \* ARABIC </w:instrText>
      </w:r>
      <w:r w:rsidR="005E669F">
        <w:fldChar w:fldCharType="separate"/>
      </w:r>
      <w:r w:rsidR="007F7541">
        <w:rPr>
          <w:noProof/>
        </w:rPr>
        <w:t>1</w:t>
      </w:r>
      <w:r w:rsidR="005E669F">
        <w:rPr>
          <w:noProof/>
        </w:rPr>
        <w:fldChar w:fldCharType="end"/>
      </w:r>
      <w:r>
        <w:t xml:space="preserve"> : Typologie des sols du territoire de QBO</w:t>
      </w:r>
      <w:r>
        <w:br/>
      </w:r>
      <w:r w:rsidRPr="00CC22B1">
        <w:rPr>
          <w:rFonts w:asciiTheme="minorHAnsi" w:hAnsiTheme="minorHAnsi"/>
          <w:b w:val="0"/>
          <w:color w:val="A29F9F" w:themeColor="background2"/>
          <w:kern w:val="2"/>
          <w:sz w:val="16"/>
          <w:u w:val="single"/>
          <w:lang w:eastAsia="en-US"/>
          <w14:ligatures w14:val="standardContextual"/>
        </w:rPr>
        <w:t>Source : Corine Land Cover et Alterea</w:t>
      </w:r>
    </w:p>
    <w:p w14:paraId="24E0BE6B" w14:textId="77777777" w:rsidR="00D23224" w:rsidRDefault="00D23224">
      <w:pPr>
        <w:spacing w:after="200" w:line="276" w:lineRule="auto"/>
        <w:jc w:val="left"/>
        <w:rPr>
          <w:color w:val="auto"/>
        </w:rPr>
      </w:pPr>
      <w:r>
        <w:rPr>
          <w:color w:val="auto"/>
        </w:rPr>
        <w:br w:type="page"/>
      </w:r>
    </w:p>
    <w:p w14:paraId="595775B0" w14:textId="5C953124" w:rsidR="00DF6A99" w:rsidRPr="00D23224" w:rsidRDefault="00DF6A99" w:rsidP="00055A7C">
      <w:pPr>
        <w:pStyle w:val="QBO-Texte"/>
      </w:pPr>
      <w:r w:rsidRPr="00D23224">
        <w:lastRenderedPageBreak/>
        <w:t xml:space="preserve">Le territoire de la </w:t>
      </w:r>
      <w:r w:rsidR="00D23224">
        <w:t>c</w:t>
      </w:r>
      <w:r w:rsidR="00CC22B1" w:rsidRPr="00D23224">
        <w:t>ommunauté d’agglomération</w:t>
      </w:r>
      <w:r w:rsidRPr="00D23224">
        <w:t xml:space="preserve"> présente des milieux variés, maillés de réservoirs de biodiversité et de corridors écologiques. L’étalement des zones urbanisées et le regroupement parcellaire agricole présentent une menace pour ces milieux et leurs habitants. En effet, au-delà des zones de protections naturelles, il ne faut pas négliger l’intérêt des espaces « communs » qu’ils soient ruraux ou urbains pour la préservation globale de la biodiversité.  </w:t>
      </w:r>
    </w:p>
    <w:p w14:paraId="6E2B9333" w14:textId="3618801F" w:rsidR="0060791E" w:rsidRPr="00D23224" w:rsidRDefault="0060791E" w:rsidP="00055A7C">
      <w:pPr>
        <w:pStyle w:val="QBO-Texte"/>
      </w:pPr>
      <w:r w:rsidRPr="00D23224">
        <w:t xml:space="preserve">Le territoire présente une richesse de paysage </w:t>
      </w:r>
      <w:proofErr w:type="spellStart"/>
      <w:r w:rsidRPr="00D23224">
        <w:t>fluvio</w:t>
      </w:r>
      <w:proofErr w:type="spellEnd"/>
      <w:r w:rsidRPr="00D23224">
        <w:t>-littoraux, agrestes, urbains et des paysages typiques du Massif Armoricains de l’</w:t>
      </w:r>
      <w:proofErr w:type="spellStart"/>
      <w:r w:rsidRPr="00D23224">
        <w:t>Argoat</w:t>
      </w:r>
      <w:proofErr w:type="spellEnd"/>
      <w:r w:rsidRPr="00D23224">
        <w:t>. Le caractère bocager agricole a cependant diminué à la suite du remembrement agricole. Le patrimoine local est caractérisé par de nombreux monuments historiques et sites inscrits, principalement religieux, qui confère au territoire une richesse culturelle qui attire les touristes.</w:t>
      </w:r>
    </w:p>
    <w:p w14:paraId="08F27AA3" w14:textId="46E6701C" w:rsidR="00DF6A99" w:rsidRPr="00D23224" w:rsidRDefault="00DF6A99" w:rsidP="00055A7C">
      <w:pPr>
        <w:pStyle w:val="QBO-Texte"/>
      </w:pPr>
      <w:r w:rsidRPr="00D23224">
        <w:t xml:space="preserve">Les recensements et protections réglementaires sont nombreuses sur le territoire ; ainsi, un site Natura 2000 a été recensé ainsi que sept ZNIEFF et huit espaces naturels sensibles. Une gestion attentive de ces secteurs de protection permet à la biodiversité de s’installer durablement sur le territoire. Elles accueillent de nombreuses espèces sensibles qui, du fait des fortes artificialisation et anthropisation, sont menacées. </w:t>
      </w:r>
    </w:p>
    <w:p w14:paraId="7D7C3D92" w14:textId="03665C60" w:rsidR="00DF6A99" w:rsidRPr="00D23224" w:rsidRDefault="00DF6A99" w:rsidP="00055A7C">
      <w:pPr>
        <w:pStyle w:val="QBO-Texte"/>
      </w:pPr>
      <w:r w:rsidRPr="00D23224">
        <w:t>En plus de la protection des milieux naturels et de la biodiversité qui les compose, l’eau apparaît également comme une ressource essentielle et indispensable qu’il convient de maîtriser. Cela est d’autant plus vrai dans une période où le dérèglement climatique se fait de plus en plus menaçant pour la qualité et l’approvisionnement de cette ressource. A cet égard, les enjeux sur le territoire sont étudiés dans le SDAGE Loire-Bretagne et le SAGE de l’Odet au travers du Plan d’Aménagement et de Gestion Durable (PAGD) avec des orientations concernant l’aménagement du réseau hydrographique, la maitrise et la réduction des pollutions, la préservation des milieux et de la santé humaine ainsi que la gestion du risque inondation.</w:t>
      </w:r>
    </w:p>
    <w:p w14:paraId="30EC32B9" w14:textId="1F38E9E0" w:rsidR="007A22B4" w:rsidRPr="007A22B4" w:rsidRDefault="007E57EC" w:rsidP="00C30AB9">
      <w:pPr>
        <w:pStyle w:val="Titre2ALTEREA2018"/>
      </w:pPr>
      <w:bookmarkStart w:id="7" w:name="_Toc179277392"/>
      <w:r w:rsidRPr="007A22B4">
        <w:t>Profil socio-économique</w:t>
      </w:r>
      <w:bookmarkEnd w:id="7"/>
    </w:p>
    <w:p w14:paraId="61CF4C2A" w14:textId="6928B8B5" w:rsidR="007A22B4" w:rsidRPr="00BC7A80" w:rsidRDefault="007A22B4" w:rsidP="00055A7C">
      <w:pPr>
        <w:pStyle w:val="QBO-Texte"/>
      </w:pPr>
      <w:r w:rsidRPr="00BC7A80">
        <w:t xml:space="preserve">La </w:t>
      </w:r>
      <w:r w:rsidR="00BC7A80" w:rsidRPr="00BC7A80">
        <w:t>c</w:t>
      </w:r>
      <w:r w:rsidR="00CC22B1" w:rsidRPr="00BC7A80">
        <w:t>ommunauté d’agglomération</w:t>
      </w:r>
      <w:r w:rsidRPr="00BC7A80">
        <w:t xml:space="preserve"> Quimper Bretagne Occidentale présente une densité moyenne relativement faible de 211 habitants au km², cependant celle-ci est supérieure à celle du département. Elle est composée de 14 communes dont la plus peuplée est Quimper avec un peu plus de 63 000 habitants.</w:t>
      </w:r>
      <w:bookmarkStart w:id="8" w:name="_Toc125639231"/>
      <w:bookmarkEnd w:id="8"/>
    </w:p>
    <w:p w14:paraId="68A9E223" w14:textId="77777777" w:rsidR="007A22B4" w:rsidRPr="00BC7A80" w:rsidRDefault="007A22B4" w:rsidP="00055A7C">
      <w:pPr>
        <w:pStyle w:val="QBO-Texte"/>
      </w:pPr>
      <w:r w:rsidRPr="00BC7A80">
        <w:t xml:space="preserve">La population y est plus âgée que la moyenne nationale </w:t>
      </w:r>
      <w:bookmarkStart w:id="9" w:name="_Toc125639232"/>
      <w:bookmarkEnd w:id="9"/>
      <w:r w:rsidRPr="00BC7A80">
        <w:t>mais l’attractivité économique du territoire permet de maintenir un équilibre dans la répartition des profils socio-économiques et un indice de concentration d’emploi relativement important. La ville de Quimper concentre une majorité des emplois (80%).</w:t>
      </w:r>
    </w:p>
    <w:p w14:paraId="270CF2E3" w14:textId="10AB9C39" w:rsidR="007A22B4" w:rsidRPr="00BC7A80" w:rsidRDefault="007A22B4" w:rsidP="00055A7C">
      <w:pPr>
        <w:pStyle w:val="QBO-Texte"/>
      </w:pPr>
      <w:r w:rsidRPr="00BC7A80">
        <w:t>Avec 16,3% de la population âgée de moins de 15 ans en 2020, Quimper Bretagne Occidentale dispose d’un profil plutôt âgé ; cette valeur est ainsi de deux points inférieurs à la moyenne nationale (17,8% de moins de 15 ans). La population y est donc plus âgée que la moyenne nationale mais l’attractivité économique du territoire permet de maintenir un équilibre dans la répartition des profils socio-économiques et un indice de concentration d’emploi relativement important.</w:t>
      </w:r>
    </w:p>
    <w:p w14:paraId="6499B0D1" w14:textId="1FC25EC4" w:rsidR="007A22B4" w:rsidRPr="00BC7A80" w:rsidRDefault="0060791E" w:rsidP="00055A7C">
      <w:pPr>
        <w:pStyle w:val="QBO-Texte"/>
      </w:pPr>
      <w:r w:rsidRPr="00BC7A80">
        <w:t xml:space="preserve">En matière de logement, Le territoire comptait 56 475 logements en 2020, dont 49 959 résidences principales. La part de résidences secondaires est, avec 3,1%, nettement inférieure à la moyenne nationale (9,7%). </w:t>
      </w:r>
      <w:r w:rsidR="007A22B4" w:rsidRPr="00BC7A80">
        <w:t xml:space="preserve">Le parc de logements est marqué par un habitat majoritairement individuel dont les ménages sont principalement propriétaires et un faible taux de résidences secondaires. </w:t>
      </w:r>
      <w:bookmarkStart w:id="10" w:name="_Toc125639234"/>
      <w:bookmarkEnd w:id="10"/>
      <w:r w:rsidR="007A22B4" w:rsidRPr="00BC7A80">
        <w:t>Seuls 30% des logements ont été construits après 1990 ce qui implique un fort taux de logements anciens susceptible d’être énergivore.</w:t>
      </w:r>
    </w:p>
    <w:p w14:paraId="6FDCD046" w14:textId="77777777" w:rsidR="0060791E" w:rsidRPr="00BC7A80" w:rsidRDefault="0060791E" w:rsidP="00055A7C">
      <w:pPr>
        <w:pStyle w:val="QBO-Texte"/>
      </w:pPr>
      <w:r w:rsidRPr="00BC7A80">
        <w:t xml:space="preserve">Le parc résidentiel récent est encore minoritaire, avec 32% des logements construits après 1990 (sur le parc recensé en 2015). Les logements construits entre 1946 et 1990 représentent plus de 57% du </w:t>
      </w:r>
      <w:r w:rsidRPr="00BC7A80">
        <w:lastRenderedPageBreak/>
        <w:t>parc, soit 7 points de plus qu’observé à l’échelle nationale. Cette partie du parc est susceptible d’être particulièrement énergivore car répondant à des normes thermiques faibles.</w:t>
      </w:r>
    </w:p>
    <w:p w14:paraId="3F57B5E2" w14:textId="6F9A9E7D" w:rsidR="009D5530" w:rsidRPr="00BC7A80" w:rsidRDefault="0060791E" w:rsidP="00055A7C">
      <w:pPr>
        <w:pStyle w:val="QBO-Texte"/>
      </w:pPr>
      <w:r w:rsidRPr="00BC7A80">
        <w:t>Le territoire intercommunal est caractérisé par des flux de circulation majeurs, que ce soit par voie routière ou ferroviaires</w:t>
      </w:r>
      <w:r w:rsidR="00BC7A80">
        <w:t>.</w:t>
      </w:r>
      <w:r w:rsidRPr="00BC7A80">
        <w:t xml:space="preserve"> La mobilité est globalement dominée par l’utilisation de la voiture individuelle même si un réseau de transport en commun est présent. La </w:t>
      </w:r>
      <w:r w:rsidR="00BC7A80">
        <w:t>c</w:t>
      </w:r>
      <w:r w:rsidR="00CC22B1" w:rsidRPr="00BC7A80">
        <w:t>ommunauté d’agglomération</w:t>
      </w:r>
      <w:r w:rsidRPr="00BC7A80">
        <w:t xml:space="preserve"> travaille sur des projets d’aménagement multimodal ainsi qu’un Plan de Mobilité Simplifié et un Schéma Directeur des Mobilités Actives afin de favoriser la mobilité douce. Le territoire s’équipe également de nombreuses bornes de recharge pour véhicule électrique. Il est également à noter que les </w:t>
      </w:r>
      <w:r w:rsidR="007E57EC" w:rsidRPr="00BC7A80">
        <w:t>aménagements à destination des modes « actifs » (piétons et vélos) sont en nette progression au cours des dernières décennies.</w:t>
      </w:r>
      <w:r w:rsidR="007E57EC" w:rsidRPr="00BC7A80">
        <w:rPr>
          <w:highlight w:val="yellow"/>
        </w:rPr>
        <w:t xml:space="preserve"> </w:t>
      </w:r>
    </w:p>
    <w:p w14:paraId="3B55ABA7" w14:textId="4A9D06D9" w:rsidR="00122F47" w:rsidRPr="00BC7A80" w:rsidRDefault="00122F47" w:rsidP="00055A7C">
      <w:pPr>
        <w:pStyle w:val="QBO-Texte"/>
      </w:pPr>
      <w:r w:rsidRPr="00BC7A80">
        <w:t xml:space="preserve">Concernant la thématique déchets, malgré une augmentation du taux de tri et une légère diminution de la production de déchets par habitant ces dernières années, le territoire n’atteint pas, pour le moment, les objectifs régionaux. </w:t>
      </w:r>
      <w:bookmarkStart w:id="11" w:name="_Toc125639239"/>
      <w:bookmarkEnd w:id="11"/>
      <w:r w:rsidRPr="00BC7A80">
        <w:t>Ainsi, entre 2015 et 2020, la quantité de déchets a baissé de 2,1% sur le territoire.</w:t>
      </w:r>
    </w:p>
    <w:p w14:paraId="22E96217" w14:textId="7F8B2DC6" w:rsidR="009D5530" w:rsidRPr="00BC7A80" w:rsidRDefault="00F560F3" w:rsidP="00055A7C">
      <w:pPr>
        <w:pStyle w:val="QBO-Texte"/>
      </w:pPr>
      <w:r w:rsidRPr="00BC7A80">
        <w:t>Enfin, d</w:t>
      </w:r>
      <w:r w:rsidR="007E57EC" w:rsidRPr="00BC7A80">
        <w:t xml:space="preserve">u fait de ses caractéristiques </w:t>
      </w:r>
      <w:r w:rsidR="00122F47" w:rsidRPr="00BC7A80">
        <w:t>semi-</w:t>
      </w:r>
      <w:r w:rsidR="007E57EC" w:rsidRPr="00BC7A80">
        <w:t xml:space="preserve">urbaines et de </w:t>
      </w:r>
      <w:r w:rsidR="00122F47" w:rsidRPr="00BC7A80">
        <w:t xml:space="preserve">sa </w:t>
      </w:r>
      <w:r w:rsidR="007E57EC" w:rsidRPr="00BC7A80">
        <w:t xml:space="preserve">bonne desserte routière et ferroviaire, le territoire est aussi marqué par </w:t>
      </w:r>
      <w:r w:rsidR="00122F47" w:rsidRPr="00BC7A80">
        <w:t>des</w:t>
      </w:r>
      <w:r w:rsidR="007E57EC" w:rsidRPr="00BC7A80">
        <w:t xml:space="preserve"> nuisances sonores</w:t>
      </w:r>
      <w:r w:rsidR="00122F47" w:rsidRPr="00BC7A80">
        <w:t xml:space="preserve"> et la ville de Quimper</w:t>
      </w:r>
      <w:r w:rsidRPr="00BC7A80">
        <w:t xml:space="preserve"> </w:t>
      </w:r>
      <w:r w:rsidR="00122F47" w:rsidRPr="00BC7A80">
        <w:t>a dû élaborer un plan de prévention du bruit dans l’environnement (PPBE).</w:t>
      </w:r>
    </w:p>
    <w:p w14:paraId="50B4380D" w14:textId="7C21D31D" w:rsidR="00F560F3" w:rsidRPr="00F560F3" w:rsidRDefault="007E57EC" w:rsidP="00C30AB9">
      <w:pPr>
        <w:pStyle w:val="Titre2ALTEREA2018"/>
      </w:pPr>
      <w:bookmarkStart w:id="12" w:name="_Toc179277393"/>
      <w:r w:rsidRPr="00F560F3">
        <w:t>Profil énergie-air-climat</w:t>
      </w:r>
      <w:bookmarkEnd w:id="12"/>
    </w:p>
    <w:p w14:paraId="5F5CD2D4" w14:textId="3894D8B0" w:rsidR="00F560F3" w:rsidRPr="00BC7A80" w:rsidRDefault="00F560F3" w:rsidP="00055A7C">
      <w:pPr>
        <w:pStyle w:val="QBO-Texte"/>
      </w:pPr>
      <w:r w:rsidRPr="00BC7A80">
        <w:t xml:space="preserve">Par sa proximité directe avec le littoral, Quimper Bretagne Occidentale est caractérisée par un climat océanique assez doux. Dans la zone intérieure ouest de la Bretagne, les formations nuageuses y sont plus importantes et les précipitations plus abondantes dans les zones vallonées que sur le littoral, constat qui se vérifie notamment pendant la </w:t>
      </w:r>
      <w:r w:rsidR="00BC7A80" w:rsidRPr="00BC7A80">
        <w:t>période</w:t>
      </w:r>
      <w:r w:rsidRPr="00BC7A80">
        <w:t xml:space="preserve"> hivernale.</w:t>
      </w:r>
    </w:p>
    <w:p w14:paraId="56C78148" w14:textId="5D377B55" w:rsidR="00F560F3" w:rsidRDefault="00F560F3" w:rsidP="00055A7C">
      <w:pPr>
        <w:pStyle w:val="QBO-Texte"/>
      </w:pPr>
      <w:r w:rsidRPr="00F560F3">
        <w:t>Le nombre moyen de jours de pluie calculé sur la période de 1991-2020 (jour où les précipitations sont supérieures ou égales à 2,5 mm) est de 149,8 jours par an. La pluviométrie est assez élevée avec une moyenne annuelle des précipitations calculée sur la période de 1991-2020 de 1 214 mm, majoritairement présentes en janvier, novembre et décembre.</w:t>
      </w:r>
    </w:p>
    <w:p w14:paraId="3FEF873E" w14:textId="765B060C" w:rsidR="00F560F3" w:rsidRPr="00F560F3" w:rsidRDefault="00F560F3" w:rsidP="00055A7C">
      <w:pPr>
        <w:pStyle w:val="QBO-Texte"/>
      </w:pPr>
      <w:r w:rsidRPr="00FA27CF">
        <w:t>D’après la station Météo-France de Quimper</w:t>
      </w:r>
      <w:r w:rsidRPr="00A449E1">
        <w:t xml:space="preserve">, </w:t>
      </w:r>
      <w:r>
        <w:t xml:space="preserve">la station la plus proche, </w:t>
      </w:r>
      <w:r w:rsidRPr="00A449E1">
        <w:t xml:space="preserve">la température moyenne pour les minimales (le matin) est de 8,5°C tandis </w:t>
      </w:r>
      <w:r w:rsidRPr="00B0060A">
        <w:t>que la moyenne pour les maximales (l’après-midi) est de 15,6°C (moyenne sur la période 1991-2020), soit une amplitude thermique moyenne de 7,1°C.</w:t>
      </w:r>
    </w:p>
    <w:p w14:paraId="1E6414A5" w14:textId="77777777" w:rsidR="00F560F3" w:rsidRDefault="00F560F3" w:rsidP="00F560F3">
      <w:pPr>
        <w:pStyle w:val="SGBDS-Normal"/>
        <w:keepNext/>
        <w:jc w:val="center"/>
      </w:pPr>
      <w:r>
        <w:rPr>
          <w:noProof/>
        </w:rPr>
        <w:lastRenderedPageBreak/>
        <w:drawing>
          <wp:inline distT="0" distB="0" distL="0" distR="0" wp14:anchorId="679E79F5" wp14:editId="35315CDA">
            <wp:extent cx="5904230" cy="3541395"/>
            <wp:effectExtent l="0" t="0" r="1270" b="1905"/>
            <wp:docPr id="277" name="Image 277" descr="Une image contenan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 277" descr="Une image contenant graphique&#10;&#10;Description générée automatiquement"/>
                    <pic:cNvPicPr/>
                  </pic:nvPicPr>
                  <pic:blipFill>
                    <a:blip r:embed="rId38"/>
                    <a:stretch>
                      <a:fillRect/>
                    </a:stretch>
                  </pic:blipFill>
                  <pic:spPr>
                    <a:xfrm>
                      <a:off x="0" y="0"/>
                      <a:ext cx="5904230" cy="3541395"/>
                    </a:xfrm>
                    <a:prstGeom prst="rect">
                      <a:avLst/>
                    </a:prstGeom>
                  </pic:spPr>
                </pic:pic>
              </a:graphicData>
            </a:graphic>
          </wp:inline>
        </w:drawing>
      </w:r>
    </w:p>
    <w:p w14:paraId="3EEA23A0" w14:textId="3FA91962" w:rsidR="009D5530" w:rsidRPr="00784652" w:rsidRDefault="00F560F3" w:rsidP="00BC7A80">
      <w:pPr>
        <w:pStyle w:val="Lgende"/>
        <w:spacing w:after="240"/>
        <w:rPr>
          <w:rFonts w:asciiTheme="minorHAnsi" w:hAnsiTheme="minorHAnsi"/>
          <w:b w:val="0"/>
          <w:color w:val="A29F9F" w:themeColor="background2"/>
          <w:kern w:val="2"/>
          <w:sz w:val="16"/>
          <w:u w:val="single"/>
          <w:lang w:eastAsia="en-US"/>
          <w14:ligatures w14:val="standardContextual"/>
        </w:rPr>
      </w:pPr>
      <w:r>
        <w:t xml:space="preserve">Figure </w:t>
      </w:r>
      <w:r w:rsidR="005E669F">
        <w:fldChar w:fldCharType="begin"/>
      </w:r>
      <w:r w:rsidR="005E669F">
        <w:instrText xml:space="preserve"> SEQ Figure \* ARABIC </w:instrText>
      </w:r>
      <w:r w:rsidR="005E669F">
        <w:fldChar w:fldCharType="separate"/>
      </w:r>
      <w:r w:rsidR="007F7541">
        <w:rPr>
          <w:noProof/>
        </w:rPr>
        <w:t>2</w:t>
      </w:r>
      <w:r w:rsidR="005E669F">
        <w:rPr>
          <w:noProof/>
        </w:rPr>
        <w:fldChar w:fldCharType="end"/>
      </w:r>
      <w:r>
        <w:t xml:space="preserve"> : Températures moyennes relevées (1991-2020) et durées moyennes d'ensoleillement relevée</w:t>
      </w:r>
      <w:r>
        <w:rPr>
          <w:noProof/>
        </w:rPr>
        <w:t>s à la station de Quimper</w:t>
      </w:r>
      <w:r>
        <w:rPr>
          <w:noProof/>
        </w:rPr>
        <w:br/>
      </w:r>
      <w:r w:rsidRPr="00784652">
        <w:rPr>
          <w:rFonts w:asciiTheme="minorHAnsi" w:hAnsiTheme="minorHAnsi"/>
          <w:b w:val="0"/>
          <w:color w:val="A29F9F" w:themeColor="background2"/>
          <w:sz w:val="16"/>
          <w:u w:val="single"/>
        </w:rPr>
        <w:t>Source : Météo France</w:t>
      </w:r>
    </w:p>
    <w:p w14:paraId="3CC40195" w14:textId="77777777" w:rsidR="005F6215" w:rsidRPr="00BC7A80" w:rsidRDefault="00F560F3" w:rsidP="00055A7C">
      <w:pPr>
        <w:pStyle w:val="QBO-Texte"/>
      </w:pPr>
      <w:r w:rsidRPr="00BC7A80">
        <w:t>Les vents sont globalement modérés à fort. L’exposition au vent du territoire est marquée par des vents dominants orientés Nord-Est et Sud-Ouest</w:t>
      </w:r>
      <w:r w:rsidR="005F6215" w:rsidRPr="00BC7A80">
        <w:t xml:space="preserve">. La puissance du vent est saisonnière, en lien avec les situations anticycloniques ou les dépressions atmosphériques. Les rafales de vent sont ainsi principalement concentrées sur les mois d’hiver, tandis que les mois de juin à août sont les plus calmes. </w:t>
      </w:r>
    </w:p>
    <w:p w14:paraId="70F222DF" w14:textId="3D9B4F3F" w:rsidR="00784652" w:rsidRPr="00784652" w:rsidRDefault="00784652" w:rsidP="00055A7C">
      <w:pPr>
        <w:pStyle w:val="QBO-Texte"/>
      </w:pPr>
      <w:r w:rsidRPr="00784652">
        <w:t>Les émissions de polluants atmosphériques sont issues d’</w:t>
      </w:r>
      <w:proofErr w:type="spellStart"/>
      <w:r w:rsidRPr="00784652">
        <w:t>AiBreizh</w:t>
      </w:r>
      <w:proofErr w:type="spellEnd"/>
      <w:r w:rsidRPr="00784652">
        <w:t xml:space="preserve"> pour l’année 2019. Elles concernent 9 secteurs d’activité : Industrie de l’énergie, Résidentiel, Tertiaire, Industrie hors énergie, Transports Routiers, Autres Transports, Déchets, Agriculture &amp; Sylviculture et Biotique pour une trentaine de polluants (dont les particules fines, les oxydes d’azote, le dioxyde de soufre, l’ammoniac, etc.).</w:t>
      </w:r>
      <w:r>
        <w:t xml:space="preserve"> Elles s’élèvent à </w:t>
      </w:r>
      <w:r w:rsidRPr="00784652">
        <w:rPr>
          <w:b/>
          <w:bCs/>
        </w:rPr>
        <w:t>5 333 tonnes</w:t>
      </w:r>
      <w:r>
        <w:t xml:space="preserve"> d’émissions de polluants atmosphériques tout confondus sur l’année 2019.</w:t>
      </w:r>
    </w:p>
    <w:p w14:paraId="1430A692" w14:textId="3D65AB63" w:rsidR="00784652" w:rsidRPr="00784652" w:rsidRDefault="00784652" w:rsidP="00055A7C">
      <w:pPr>
        <w:pStyle w:val="QBO-Texte"/>
      </w:pPr>
      <w:r w:rsidRPr="00784652">
        <w:t>A l’échelle du territoire de la CA</w:t>
      </w:r>
      <w:r>
        <w:t xml:space="preserve"> </w:t>
      </w:r>
      <w:r w:rsidRPr="00784652">
        <w:t xml:space="preserve">QBO, l’agriculture et les transports routiers sont les principaux émetteurs de polluants, </w:t>
      </w:r>
      <w:r>
        <w:t xml:space="preserve">et respectivement </w:t>
      </w:r>
      <w:r w:rsidRPr="00784652">
        <w:t>d</w:t>
      </w:r>
      <w:r>
        <w:t>’</w:t>
      </w:r>
      <w:r w:rsidRPr="00784652">
        <w:t>émissions d’ammoniac (NH</w:t>
      </w:r>
      <w:r w:rsidRPr="00784652">
        <w:rPr>
          <w:vertAlign w:val="subscript"/>
        </w:rPr>
        <w:t>3</w:t>
      </w:r>
      <w:r w:rsidRPr="00784652">
        <w:t>) et d’oxydes d’azote (NOx).</w:t>
      </w:r>
    </w:p>
    <w:p w14:paraId="425D5452" w14:textId="77777777" w:rsidR="00784652" w:rsidRPr="00D23224" w:rsidRDefault="00784652" w:rsidP="00055A7C">
      <w:pPr>
        <w:pStyle w:val="QBO-Texte"/>
      </w:pPr>
      <w:r w:rsidRPr="00D23224">
        <w:t>En matière de qualité de l’air, le territoire émet légèrement moins de polluant</w:t>
      </w:r>
      <w:r>
        <w:t>s atmosphériques</w:t>
      </w:r>
      <w:r w:rsidRPr="00D23224">
        <w:t xml:space="preserve"> (PM</w:t>
      </w:r>
      <w:r w:rsidRPr="00D23224">
        <w:rPr>
          <w:vertAlign w:val="subscript"/>
        </w:rPr>
        <w:t>2.5 </w:t>
      </w:r>
      <w:r w:rsidRPr="00D23224">
        <w:t>; PM</w:t>
      </w:r>
      <w:r w:rsidRPr="00D23224">
        <w:rPr>
          <w:vertAlign w:val="subscript"/>
        </w:rPr>
        <w:t>10</w:t>
      </w:r>
      <w:r w:rsidRPr="00D23224">
        <w:t> ; NOX ; NH</w:t>
      </w:r>
      <w:r w:rsidRPr="00D23224">
        <w:rPr>
          <w:vertAlign w:val="subscript"/>
        </w:rPr>
        <w:t>3</w:t>
      </w:r>
      <w:r w:rsidRPr="00D23224">
        <w:t>) que la moyenne régionale</w:t>
      </w:r>
      <w:r>
        <w:t xml:space="preserve">. </w:t>
      </w:r>
      <w:r w:rsidRPr="00BC7A80">
        <w:t>En 2022, sur le territoire de Quimper Bretagne Occidentale, ce sont les particules PM</w:t>
      </w:r>
      <w:r w:rsidRPr="00BC7A80">
        <w:rPr>
          <w:vertAlign w:val="subscript"/>
        </w:rPr>
        <w:t>2.5</w:t>
      </w:r>
      <w:r w:rsidRPr="00BC7A80">
        <w:t xml:space="preserve"> qui ont été très majoritairement responsables des journées où la qualité de l’air était qualifiée de mauvaise.</w:t>
      </w:r>
      <w:r>
        <w:t xml:space="preserve"> </w:t>
      </w:r>
      <w:r w:rsidRPr="00BC7A80">
        <w:t>En outre, ce sont les mois de janvier à mars qui ont été les plus impactés par des indices mauvais (du fait des particules fines PM</w:t>
      </w:r>
      <w:r w:rsidRPr="00BC7A80">
        <w:rPr>
          <w:vertAlign w:val="subscript"/>
        </w:rPr>
        <w:t>2.5</w:t>
      </w:r>
      <w:r w:rsidRPr="00BC7A80">
        <w:t>) sur le territoire. A noter également, une dégradation marquée de la qualité de l’air en période estivale (juin à août) due aux niveaux d’ozone (O</w:t>
      </w:r>
      <w:r w:rsidRPr="00BC7A80">
        <w:rPr>
          <w:vertAlign w:val="subscript"/>
        </w:rPr>
        <w:t>3</w:t>
      </w:r>
      <w:r w:rsidRPr="00BC7A80">
        <w:t>) observés sur la saison 2022.</w:t>
      </w:r>
    </w:p>
    <w:p w14:paraId="4F9D645C" w14:textId="77777777" w:rsidR="005F6215" w:rsidRDefault="005F6215" w:rsidP="00055A7C">
      <w:pPr>
        <w:pStyle w:val="QBO-Texte"/>
      </w:pPr>
      <w:r>
        <w:rPr>
          <w:noProof/>
        </w:rPr>
        <w:lastRenderedPageBreak/>
        <w:drawing>
          <wp:inline distT="0" distB="0" distL="0" distR="0" wp14:anchorId="63BE12DC" wp14:editId="3B12D6A9">
            <wp:extent cx="5904230" cy="3219976"/>
            <wp:effectExtent l="0" t="0" r="1270" b="0"/>
            <wp:docPr id="1745266884" name="Graphique 1">
              <a:extLst xmlns:a="http://schemas.openxmlformats.org/drawingml/2006/main">
                <a:ext uri="{FF2B5EF4-FFF2-40B4-BE49-F238E27FC236}">
                  <a16:creationId xmlns:a16="http://schemas.microsoft.com/office/drawing/2014/main" id="{2D500B5D-327C-4CE9-9AED-0E5175A5B8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ED1E79C" w14:textId="541FE7EF" w:rsidR="00055A7C" w:rsidRDefault="005F6215" w:rsidP="005F6215">
      <w:pPr>
        <w:pStyle w:val="Lgende"/>
      </w:pPr>
      <w:r>
        <w:t xml:space="preserve">Figure </w:t>
      </w:r>
      <w:r w:rsidR="005E669F">
        <w:fldChar w:fldCharType="begin"/>
      </w:r>
      <w:r w:rsidR="005E669F">
        <w:instrText xml:space="preserve"> SEQ Figure \* ARABIC </w:instrText>
      </w:r>
      <w:r w:rsidR="005E669F">
        <w:fldChar w:fldCharType="separate"/>
      </w:r>
      <w:r w:rsidR="007F7541">
        <w:rPr>
          <w:noProof/>
        </w:rPr>
        <w:t>3</w:t>
      </w:r>
      <w:r w:rsidR="005E669F">
        <w:rPr>
          <w:noProof/>
        </w:rPr>
        <w:fldChar w:fldCharType="end"/>
      </w:r>
      <w:r>
        <w:t xml:space="preserve"> : Répartition des émissions de polluants atmosphériques en 2019 sur la Communauté d'Agglomération Quimper Bretagne Occidentale</w:t>
      </w:r>
    </w:p>
    <w:p w14:paraId="727D66B9" w14:textId="25AF1195" w:rsidR="005F6215" w:rsidRPr="005F6215" w:rsidRDefault="005F6215" w:rsidP="00055A7C">
      <w:pPr>
        <w:pStyle w:val="QBO-Sources"/>
        <w:rPr>
          <w:rStyle w:val="SourcesCar"/>
          <w:b/>
          <w:i/>
          <w:iCs/>
          <w:color w:val="A29F9F"/>
          <w:sz w:val="20"/>
          <w:szCs w:val="20"/>
        </w:rPr>
      </w:pPr>
      <w:r w:rsidRPr="00055A7C">
        <w:rPr>
          <w:rStyle w:val="QBO-SourcesCar"/>
        </w:rPr>
        <w:t xml:space="preserve">Source : </w:t>
      </w:r>
      <w:proofErr w:type="spellStart"/>
      <w:r w:rsidRPr="00055A7C">
        <w:rPr>
          <w:rStyle w:val="QBO-SourcesCar"/>
        </w:rPr>
        <w:t>Airbreizh</w:t>
      </w:r>
      <w:proofErr w:type="spellEnd"/>
      <w:r w:rsidRPr="00055A7C">
        <w:rPr>
          <w:rStyle w:val="QBO-SourcesCar"/>
        </w:rPr>
        <w:t>, ISEA</w:t>
      </w:r>
      <w:r w:rsidR="00784652" w:rsidRPr="00055A7C">
        <w:rPr>
          <w:rStyle w:val="QBO-SourcesCar"/>
        </w:rPr>
        <w:t xml:space="preserve"> v5.1</w:t>
      </w:r>
    </w:p>
    <w:p w14:paraId="7AE23BB9" w14:textId="5E49CAAE" w:rsidR="00E674C2" w:rsidRPr="00784652" w:rsidRDefault="00E674C2" w:rsidP="00055A7C">
      <w:pPr>
        <w:pStyle w:val="QBO-Texte"/>
      </w:pPr>
      <w:r w:rsidRPr="00784652">
        <w:t xml:space="preserve">La consommation globale sur le territoire est estimée à </w:t>
      </w:r>
      <w:r w:rsidRPr="00784652">
        <w:rPr>
          <w:b/>
          <w:bCs/>
        </w:rPr>
        <w:t>3 474 GWh sur l’année 2018</w:t>
      </w:r>
      <w:r w:rsidRPr="00784652">
        <w:t xml:space="preserve">, soit </w:t>
      </w:r>
      <w:r w:rsidRPr="00784652">
        <w:rPr>
          <w:b/>
          <w:bCs/>
        </w:rPr>
        <w:t>34,5 MWh/habitant/an</w:t>
      </w:r>
      <w:r w:rsidRPr="00784652">
        <w:t xml:space="preserve"> en 2018</w:t>
      </w:r>
      <w:r w:rsidRPr="00784652">
        <w:rPr>
          <w:rStyle w:val="Appelnotedebasdep"/>
          <w:sz w:val="24"/>
        </w:rPr>
        <w:footnoteReference w:id="1"/>
      </w:r>
      <w:r w:rsidRPr="00784652">
        <w:t>. Cette valeur est supérieure à la moyenne départementale, qui s’établissait à 26,8 MWh/habitant/an</w:t>
      </w:r>
      <w:r w:rsidRPr="00784652">
        <w:rPr>
          <w:rStyle w:val="Appelnotedebasdep"/>
          <w:sz w:val="24"/>
        </w:rPr>
        <w:footnoteReference w:id="2"/>
      </w:r>
      <w:r w:rsidRPr="00784652">
        <w:t xml:space="preserve"> et à la moyenne régionale de 25,3 MWh/habitant/an</w:t>
      </w:r>
      <w:r w:rsidRPr="00784652">
        <w:rPr>
          <w:rStyle w:val="Appelnotedebasdep"/>
          <w:sz w:val="24"/>
        </w:rPr>
        <w:footnoteReference w:id="3"/>
      </w:r>
      <w:r w:rsidRPr="00784652">
        <w:t xml:space="preserve"> en 2018. Les principaux secteurs de consommation d’énergie sont les secteurs « transport routier » et « résidentiel » pour 2/3 des consommations d’énergie du territoire.</w:t>
      </w:r>
    </w:p>
    <w:p w14:paraId="030EFC5D" w14:textId="7434CEEE" w:rsidR="00E674C2" w:rsidRPr="00784652" w:rsidRDefault="007E57EC" w:rsidP="00055A7C">
      <w:pPr>
        <w:pStyle w:val="QBO-Texte"/>
        <w:rPr>
          <w:highlight w:val="yellow"/>
        </w:rPr>
      </w:pPr>
      <w:r w:rsidRPr="00784652">
        <w:t xml:space="preserve">En matière d’émissions de GES, toutes ces consommations d’énergies sont des sources d’émissions. Il convient d’y ajouter des émissions « non-énergétiques » liées par exemple à la fermentation des déchets ou à l’utilisation de pesticides et d’engrais. </w:t>
      </w:r>
      <w:r w:rsidR="00E674C2" w:rsidRPr="00784652">
        <w:t>Les émissions de gaz à effet de serre (énergétiques et non énergétiques) du territoire sont évaluées à</w:t>
      </w:r>
      <w:r w:rsidR="00E674C2" w:rsidRPr="00784652">
        <w:rPr>
          <w:b/>
          <w:bCs/>
        </w:rPr>
        <w:t xml:space="preserve"> 936 275 </w:t>
      </w:r>
      <w:r w:rsidR="00E674C2" w:rsidRPr="00784652">
        <w:rPr>
          <w:b/>
        </w:rPr>
        <w:t>tCO</w:t>
      </w:r>
      <w:r w:rsidR="00E674C2" w:rsidRPr="00784652">
        <w:rPr>
          <w:b/>
          <w:vertAlign w:val="subscript"/>
        </w:rPr>
        <w:t>2</w:t>
      </w:r>
      <w:r w:rsidR="00E674C2" w:rsidRPr="00784652">
        <w:rPr>
          <w:b/>
        </w:rPr>
        <w:t>e</w:t>
      </w:r>
      <w:r w:rsidR="00E674C2" w:rsidRPr="00784652">
        <w:rPr>
          <w:b/>
          <w:bCs/>
        </w:rPr>
        <w:t xml:space="preserve"> </w:t>
      </w:r>
      <w:r w:rsidR="00E674C2" w:rsidRPr="00784652">
        <w:t xml:space="preserve">en 2018, soit </w:t>
      </w:r>
      <w:r w:rsidR="00E674C2" w:rsidRPr="00784652">
        <w:rPr>
          <w:b/>
          <w:bCs/>
        </w:rPr>
        <w:t>9,3</w:t>
      </w:r>
      <w:r w:rsidR="00E674C2" w:rsidRPr="00784652">
        <w:rPr>
          <w:b/>
        </w:rPr>
        <w:t xml:space="preserve"> tCO</w:t>
      </w:r>
      <w:r w:rsidR="00E674C2" w:rsidRPr="00784652">
        <w:rPr>
          <w:b/>
          <w:vertAlign w:val="subscript"/>
        </w:rPr>
        <w:t>2</w:t>
      </w:r>
      <w:r w:rsidR="00E674C2" w:rsidRPr="00784652">
        <w:rPr>
          <w:b/>
        </w:rPr>
        <w:t>e/habitant/an</w:t>
      </w:r>
      <w:r w:rsidR="00E674C2" w:rsidRPr="00784652">
        <w:t xml:space="preserve"> (supérieur à la moyenne française, établie en 2018 à 6,4 tCO</w:t>
      </w:r>
      <w:r w:rsidR="00E674C2" w:rsidRPr="00784652">
        <w:rPr>
          <w:vertAlign w:val="subscript"/>
        </w:rPr>
        <w:t>2</w:t>
      </w:r>
      <w:r w:rsidR="00E674C2" w:rsidRPr="00784652">
        <w:t>e/habitant/an</w:t>
      </w:r>
      <w:r w:rsidR="00E674C2" w:rsidRPr="00784652">
        <w:rPr>
          <w:rStyle w:val="Appelnotedebasdep"/>
          <w:rFonts w:cs="Arial"/>
          <w:sz w:val="24"/>
        </w:rPr>
        <w:footnoteReference w:id="4"/>
      </w:r>
      <w:r w:rsidR="00E674C2" w:rsidRPr="00784652">
        <w:t>). Selon l’Observatoire de l’Environnement en Bretagne (OEB), les émissions de gaz à effet de serre ont diminué de 2,6% entre ces deux dates.</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542"/>
        <w:gridCol w:w="4528"/>
      </w:tblGrid>
      <w:tr w:rsidR="00220165" w:rsidRPr="004572B3" w14:paraId="459F5523" w14:textId="77777777" w:rsidTr="000223B3">
        <w:trPr>
          <w:jc w:val="center"/>
        </w:trPr>
        <w:tc>
          <w:tcPr>
            <w:tcW w:w="4770" w:type="dxa"/>
          </w:tcPr>
          <w:p w14:paraId="03A78BA4" w14:textId="77777777" w:rsidR="00220165" w:rsidRPr="000003BE" w:rsidRDefault="00220165" w:rsidP="000223B3">
            <w:pPr>
              <w:pStyle w:val="SGBDS-Normal"/>
            </w:pPr>
            <w:r w:rsidRPr="000003BE">
              <w:rPr>
                <w:noProof/>
              </w:rPr>
              <w:lastRenderedPageBreak/>
              <mc:AlternateContent>
                <mc:Choice Requires="wps">
                  <w:drawing>
                    <wp:anchor distT="0" distB="0" distL="114300" distR="114300" simplePos="0" relativeHeight="252798976" behindDoc="0" locked="0" layoutInCell="1" allowOverlap="1" wp14:anchorId="00CE4593" wp14:editId="21222F1F">
                      <wp:simplePos x="0" y="0"/>
                      <wp:positionH relativeFrom="margin">
                        <wp:posOffset>1089329</wp:posOffset>
                      </wp:positionH>
                      <wp:positionV relativeFrom="paragraph">
                        <wp:posOffset>1017905</wp:posOffset>
                      </wp:positionV>
                      <wp:extent cx="756000" cy="756000"/>
                      <wp:effectExtent l="0" t="0" r="6350" b="6350"/>
                      <wp:wrapNone/>
                      <wp:docPr id="948444711" name="Ellipse 5"/>
                      <wp:cNvGraphicFramePr/>
                      <a:graphic xmlns:a="http://schemas.openxmlformats.org/drawingml/2006/main">
                        <a:graphicData uri="http://schemas.microsoft.com/office/word/2010/wordprocessingShape">
                          <wps:wsp>
                            <wps:cNvSpPr/>
                            <wps:spPr bwMode="auto">
                              <a:xfrm>
                                <a:off x="0" y="0"/>
                                <a:ext cx="756000" cy="756000"/>
                              </a:xfrm>
                              <a:prstGeom prst="ellipse">
                                <a:avLst/>
                              </a:prstGeom>
                              <a:solidFill>
                                <a:schemeClr val="bg2">
                                  <a:lumMod val="20000"/>
                                  <a:lumOff val="80000"/>
                                </a:schemeClr>
                              </a:solidFill>
                              <a:ln w="9525" cap="flat" cmpd="sng" algn="ctr">
                                <a:noFill/>
                                <a:prstDash val="solid"/>
                                <a:round/>
                                <a:headEnd type="none" w="med" len="med"/>
                                <a:tailEnd type="none" w="med" len="med"/>
                              </a:ln>
                              <a:effectLst/>
                            </wps:spPr>
                            <wps:txbx>
                              <w:txbxContent>
                                <w:p w14:paraId="0F8E4DB1" w14:textId="77777777" w:rsidR="00220165" w:rsidRDefault="00220165" w:rsidP="00220165">
                                  <w:pPr>
                                    <w:spacing w:after="0" w:line="256" w:lineRule="auto"/>
                                    <w:jc w:val="center"/>
                                    <w:rPr>
                                      <w:rFonts w:eastAsia="Arial"/>
                                      <w:b/>
                                      <w:bCs/>
                                      <w:color w:val="000000"/>
                                      <w:kern w:val="24"/>
                                      <w:sz w:val="21"/>
                                      <w:szCs w:val="21"/>
                                    </w:rPr>
                                  </w:pPr>
                                  <w:r>
                                    <w:rPr>
                                      <w:rFonts w:eastAsia="Arial"/>
                                      <w:b/>
                                      <w:bCs/>
                                      <w:color w:val="000000"/>
                                      <w:kern w:val="24"/>
                                      <w:sz w:val="21"/>
                                      <w:szCs w:val="21"/>
                                    </w:rPr>
                                    <w:t xml:space="preserve">3 474 </w:t>
                                  </w:r>
                                  <w:r>
                                    <w:rPr>
                                      <w:rFonts w:eastAsia="Arial"/>
                                      <w:b/>
                                      <w:bCs/>
                                      <w:color w:val="000000"/>
                                      <w:kern w:val="24"/>
                                      <w:sz w:val="21"/>
                                      <w:szCs w:val="21"/>
                                    </w:rPr>
                                    <w:br/>
                                    <w:t>GWh</w:t>
                                  </w:r>
                                </w:p>
                              </w:txbxContent>
                            </wps:txbx>
                            <wps:bodyPr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00CE4593" id="Ellipse 5" o:spid="_x0000_s1029" style="position:absolute;left:0;text-align:left;margin-left:85.75pt;margin-top:80.15pt;width:59.55pt;height:59.55pt;z-index:25279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" fillcolor="#ecebeb [670]" stroked="f">
                      <v:textbox inset="1.44pt,0,0,0">
                        <w:txbxContent>
                          <w:p w14:paraId="0F8E4DB1" w14:textId="77777777" w:rsidR="00220165" w:rsidRDefault="00220165" w:rsidP="00220165">
                            <w:pPr>
                              <w:spacing w:after="0" w:line="256" w:lineRule="auto"/>
                              <w:jc w:val="center"/>
                              <w:rPr>
                                <w:rFonts w:eastAsia="Arial"/>
                                <w:b/>
                                <w:bCs/>
                                <w:color w:val="000000"/>
                                <w:kern w:val="24"/>
                                <w:sz w:val="21"/>
                                <w:szCs w:val="21"/>
                              </w:rPr>
                            </w:pPr>
                            <w:r>
                              <w:rPr>
                                <w:rFonts w:eastAsia="Arial"/>
                                <w:b/>
                                <w:bCs/>
                                <w:color w:val="000000"/>
                                <w:kern w:val="24"/>
                                <w:sz w:val="21"/>
                                <w:szCs w:val="21"/>
                              </w:rPr>
                              <w:t xml:space="preserve">3 474 </w:t>
                            </w:r>
                            <w:r>
                              <w:rPr>
                                <w:rFonts w:eastAsia="Arial"/>
                                <w:b/>
                                <w:bCs/>
                                <w:color w:val="000000"/>
                                <w:kern w:val="24"/>
                                <w:sz w:val="21"/>
                                <w:szCs w:val="21"/>
                              </w:rPr>
                              <w:br/>
                              <w:t>GWh</w:t>
                            </w:r>
                          </w:p>
                        </w:txbxContent>
                      </v:textbox>
                      <w10:wrap anchorx="margin"/>
                    </v:oval>
                  </w:pict>
                </mc:Fallback>
              </mc:AlternateContent>
            </w:r>
            <w:r w:rsidRPr="000003BE">
              <w:rPr>
                <w:noProof/>
              </w:rPr>
              <w:drawing>
                <wp:inline distT="0" distB="0" distL="0" distR="0" wp14:anchorId="01258CC2" wp14:editId="18958DC2">
                  <wp:extent cx="2787650" cy="2339975"/>
                  <wp:effectExtent l="0" t="0" r="0" b="3175"/>
                  <wp:docPr id="1739550810" name="Graphique 1">
                    <a:extLst xmlns:a="http://schemas.openxmlformats.org/drawingml/2006/main">
                      <a:ext uri="{FF2B5EF4-FFF2-40B4-BE49-F238E27FC236}">
                        <a16:creationId xmlns:a16="http://schemas.microsoft.com/office/drawing/2014/main" id="{124E1673-5D3F-4DC4-91C8-F42555DA4F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4528" w:type="dxa"/>
          </w:tcPr>
          <w:p w14:paraId="4DA4C827" w14:textId="77777777" w:rsidR="00220165" w:rsidRPr="0099528D" w:rsidRDefault="00220165" w:rsidP="000223B3">
            <w:pPr>
              <w:pStyle w:val="SGBDS-Normal"/>
            </w:pPr>
            <w:r w:rsidRPr="0099528D">
              <w:rPr>
                <w:noProof/>
              </w:rPr>
              <mc:AlternateContent>
                <mc:Choice Requires="wps">
                  <w:drawing>
                    <wp:anchor distT="0" distB="0" distL="114300" distR="114300" simplePos="0" relativeHeight="252797952" behindDoc="0" locked="0" layoutInCell="1" allowOverlap="1" wp14:anchorId="3C6C042D" wp14:editId="66DA7557">
                      <wp:simplePos x="0" y="0"/>
                      <wp:positionH relativeFrom="margin">
                        <wp:posOffset>1135380</wp:posOffset>
                      </wp:positionH>
                      <wp:positionV relativeFrom="paragraph">
                        <wp:posOffset>1024586</wp:posOffset>
                      </wp:positionV>
                      <wp:extent cx="756000" cy="756000"/>
                      <wp:effectExtent l="0" t="0" r="6350" b="6350"/>
                      <wp:wrapNone/>
                      <wp:docPr id="6" name="Ellipse 5">
                        <a:extLst xmlns:a="http://schemas.openxmlformats.org/drawingml/2006/main">
                          <a:ext uri="{FF2B5EF4-FFF2-40B4-BE49-F238E27FC236}">
                            <a16:creationId xmlns:a16="http://schemas.microsoft.com/office/drawing/2014/main" id="{22136CCE-4D0B-1A27-576A-1504AC3B3BD3}"/>
                          </a:ext>
                        </a:extLst>
                      </wp:docPr>
                      <wp:cNvGraphicFramePr/>
                      <a:graphic xmlns:a="http://schemas.openxmlformats.org/drawingml/2006/main">
                        <a:graphicData uri="http://schemas.microsoft.com/office/word/2010/wordprocessingShape">
                          <wps:wsp>
                            <wps:cNvSpPr/>
                            <wps:spPr bwMode="auto">
                              <a:xfrm>
                                <a:off x="0" y="0"/>
                                <a:ext cx="756000" cy="756000"/>
                              </a:xfrm>
                              <a:prstGeom prst="ellipse">
                                <a:avLst/>
                              </a:prstGeom>
                              <a:solidFill>
                                <a:schemeClr val="bg2">
                                  <a:lumMod val="20000"/>
                                  <a:lumOff val="80000"/>
                                </a:schemeClr>
                              </a:solidFill>
                              <a:ln w="9525" cap="flat" cmpd="sng" algn="ctr">
                                <a:noFill/>
                                <a:prstDash val="solid"/>
                                <a:round/>
                                <a:headEnd type="none" w="med" len="med"/>
                                <a:tailEnd type="none" w="med" len="med"/>
                              </a:ln>
                              <a:effectLst/>
                            </wps:spPr>
                            <wps:txbx>
                              <w:txbxContent>
                                <w:p w14:paraId="61473420" w14:textId="77777777" w:rsidR="00220165" w:rsidRDefault="00220165" w:rsidP="00220165">
                                  <w:pPr>
                                    <w:spacing w:after="0" w:line="256" w:lineRule="auto"/>
                                    <w:jc w:val="center"/>
                                    <w:rPr>
                                      <w:rFonts w:eastAsia="Arial"/>
                                      <w:b/>
                                      <w:bCs/>
                                      <w:color w:val="000000"/>
                                      <w:kern w:val="24"/>
                                      <w:sz w:val="21"/>
                                      <w:szCs w:val="21"/>
                                    </w:rPr>
                                  </w:pPr>
                                  <w:r w:rsidRPr="00375047">
                                    <w:rPr>
                                      <w:rFonts w:eastAsia="Arial"/>
                                      <w:b/>
                                      <w:bCs/>
                                      <w:color w:val="000000"/>
                                      <w:kern w:val="24"/>
                                      <w:sz w:val="21"/>
                                      <w:szCs w:val="21"/>
                                    </w:rPr>
                                    <w:t>936 275</w:t>
                                  </w:r>
                                  <w:r>
                                    <w:rPr>
                                      <w:rFonts w:eastAsia="Arial"/>
                                      <w:b/>
                                      <w:bCs/>
                                      <w:color w:val="000000"/>
                                      <w:kern w:val="24"/>
                                      <w:sz w:val="21"/>
                                      <w:szCs w:val="21"/>
                                    </w:rPr>
                                    <w:br/>
                                    <w:t>tCO</w:t>
                                  </w:r>
                                  <w:r w:rsidRPr="003C654D">
                                    <w:rPr>
                                      <w:rFonts w:eastAsia="Arial"/>
                                      <w:b/>
                                      <w:bCs/>
                                      <w:color w:val="000000"/>
                                      <w:kern w:val="24"/>
                                      <w:sz w:val="16"/>
                                      <w:szCs w:val="16"/>
                                    </w:rPr>
                                    <w:t>2</w:t>
                                  </w:r>
                                  <w:r>
                                    <w:rPr>
                                      <w:rFonts w:eastAsia="Arial"/>
                                      <w:b/>
                                      <w:bCs/>
                                      <w:color w:val="000000"/>
                                      <w:kern w:val="24"/>
                                      <w:sz w:val="21"/>
                                      <w:szCs w:val="21"/>
                                    </w:rPr>
                                    <w:t>e</w:t>
                                  </w:r>
                                </w:p>
                              </w:txbxContent>
                            </wps:txbx>
                            <wps:bodyPr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3C6C042D" id="_x0000_s1030" style="position:absolute;left:0;text-align:left;margin-left:89.4pt;margin-top:80.7pt;width:59.55pt;height:59.55pt;z-index:25279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" fillcolor="#ecebeb [670]" stroked="f">
                      <v:textbox inset="1.44pt,0,0,0">
                        <w:txbxContent>
                          <w:p w14:paraId="61473420" w14:textId="77777777" w:rsidR="00220165" w:rsidRDefault="00220165" w:rsidP="00220165">
                            <w:pPr>
                              <w:spacing w:after="0" w:line="256" w:lineRule="auto"/>
                              <w:jc w:val="center"/>
                              <w:rPr>
                                <w:rFonts w:eastAsia="Arial"/>
                                <w:b/>
                                <w:bCs/>
                                <w:color w:val="000000"/>
                                <w:kern w:val="24"/>
                                <w:sz w:val="21"/>
                                <w:szCs w:val="21"/>
                              </w:rPr>
                            </w:pPr>
                            <w:r w:rsidRPr="00375047">
                              <w:rPr>
                                <w:rFonts w:eastAsia="Arial"/>
                                <w:b/>
                                <w:bCs/>
                                <w:color w:val="000000"/>
                                <w:kern w:val="24"/>
                                <w:sz w:val="21"/>
                                <w:szCs w:val="21"/>
                              </w:rPr>
                              <w:t>936 275</w:t>
                            </w:r>
                            <w:r>
                              <w:rPr>
                                <w:rFonts w:eastAsia="Arial"/>
                                <w:b/>
                                <w:bCs/>
                                <w:color w:val="000000"/>
                                <w:kern w:val="24"/>
                                <w:sz w:val="21"/>
                                <w:szCs w:val="21"/>
                              </w:rPr>
                              <w:br/>
                              <w:t>tCO</w:t>
                            </w:r>
                            <w:r w:rsidRPr="003C654D">
                              <w:rPr>
                                <w:rFonts w:eastAsia="Arial"/>
                                <w:b/>
                                <w:bCs/>
                                <w:color w:val="000000"/>
                                <w:kern w:val="24"/>
                                <w:sz w:val="16"/>
                                <w:szCs w:val="16"/>
                              </w:rPr>
                              <w:t>2</w:t>
                            </w:r>
                            <w:r>
                              <w:rPr>
                                <w:rFonts w:eastAsia="Arial"/>
                                <w:b/>
                                <w:bCs/>
                                <w:color w:val="000000"/>
                                <w:kern w:val="24"/>
                                <w:sz w:val="21"/>
                                <w:szCs w:val="21"/>
                              </w:rPr>
                              <w:t>e</w:t>
                            </w:r>
                          </w:p>
                        </w:txbxContent>
                      </v:textbox>
                      <w10:wrap anchorx="margin"/>
                    </v:oval>
                  </w:pict>
                </mc:Fallback>
              </mc:AlternateContent>
            </w:r>
            <w:r>
              <w:rPr>
                <w:noProof/>
              </w:rPr>
              <w:drawing>
                <wp:inline distT="0" distB="0" distL="0" distR="0" wp14:anchorId="046A3BE4" wp14:editId="7A884043">
                  <wp:extent cx="2786400" cy="2340000"/>
                  <wp:effectExtent l="0" t="0" r="0" b="3175"/>
                  <wp:docPr id="1720549382" name="Graphique 1">
                    <a:extLst xmlns:a="http://schemas.openxmlformats.org/drawingml/2006/main">
                      <a:ext uri="{FF2B5EF4-FFF2-40B4-BE49-F238E27FC236}">
                        <a16:creationId xmlns:a16="http://schemas.microsoft.com/office/drawing/2014/main" id="{BA3EA3DD-220B-51C7-F78C-98ECC56015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220165" w:rsidRPr="0099528D" w14:paraId="21E13076" w14:textId="77777777" w:rsidTr="000223B3">
        <w:tblPrEx>
          <w:tblCellMar>
            <w:left w:w="108" w:type="dxa"/>
            <w:right w:w="108" w:type="dxa"/>
          </w:tblCellMar>
        </w:tblPrEx>
        <w:trPr>
          <w:jc w:val="center"/>
        </w:trPr>
        <w:tc>
          <w:tcPr>
            <w:tcW w:w="4770" w:type="dxa"/>
          </w:tcPr>
          <w:p w14:paraId="0C91F8CF" w14:textId="77777777" w:rsidR="00220165" w:rsidRPr="0099528D" w:rsidRDefault="00220165" w:rsidP="000223B3">
            <w:pPr>
              <w:pStyle w:val="SGBDS-Normal"/>
              <w:jc w:val="center"/>
            </w:pPr>
            <w:r w:rsidRPr="0099528D">
              <w:rPr>
                <w:b/>
                <w:color w:val="F3C345" w:themeColor="accent1"/>
                <w:szCs w:val="20"/>
              </w:rPr>
              <w:t>Consommations d’énergie</w:t>
            </w:r>
          </w:p>
        </w:tc>
        <w:tc>
          <w:tcPr>
            <w:tcW w:w="4528" w:type="dxa"/>
          </w:tcPr>
          <w:p w14:paraId="5702CF8D" w14:textId="77777777" w:rsidR="00220165" w:rsidRPr="0099528D" w:rsidRDefault="00220165" w:rsidP="000223B3">
            <w:pPr>
              <w:pStyle w:val="SGBDS-Normal"/>
              <w:jc w:val="center"/>
            </w:pPr>
            <w:r w:rsidRPr="0099528D">
              <w:rPr>
                <w:b/>
                <w:color w:val="F3C345" w:themeColor="accent1"/>
                <w:szCs w:val="20"/>
              </w:rPr>
              <w:t>Emissions de gaz à effet de serre</w:t>
            </w:r>
          </w:p>
        </w:tc>
      </w:tr>
    </w:tbl>
    <w:p w14:paraId="570CE958" w14:textId="77777777" w:rsidR="00220165" w:rsidRPr="005261BF" w:rsidRDefault="00220165" w:rsidP="00220165">
      <w:pPr>
        <w:pStyle w:val="QBO-Texte"/>
        <w:rPr>
          <w:i/>
          <w:iCs/>
          <w:sz w:val="16"/>
          <w:szCs w:val="18"/>
        </w:rPr>
      </w:pPr>
      <w:r w:rsidRPr="005261BF">
        <w:rPr>
          <w:i/>
          <w:iCs/>
          <w:sz w:val="16"/>
          <w:szCs w:val="18"/>
        </w:rPr>
        <w:t>Note : La plateforme TerriSTORY</w:t>
      </w:r>
      <w:r w:rsidRPr="005261BF">
        <w:rPr>
          <w:rFonts w:cstheme="minorHAnsi"/>
          <w:i/>
          <w:iCs/>
          <w:sz w:val="16"/>
          <w:szCs w:val="18"/>
          <w:vertAlign w:val="superscript"/>
        </w:rPr>
        <w:t>®</w:t>
      </w:r>
      <w:r w:rsidRPr="005261BF">
        <w:rPr>
          <w:i/>
          <w:iCs/>
          <w:sz w:val="16"/>
          <w:szCs w:val="18"/>
          <w:vertAlign w:val="superscript"/>
        </w:rPr>
        <w:t xml:space="preserve"> </w:t>
      </w:r>
      <w:r w:rsidRPr="005261BF">
        <w:rPr>
          <w:i/>
          <w:iCs/>
          <w:sz w:val="16"/>
          <w:szCs w:val="18"/>
        </w:rPr>
        <w:t xml:space="preserve">ne fait pas mention d’un secteur « Industrie énergie » car aucun site de production n'est recensé sur le territoire. </w:t>
      </w:r>
    </w:p>
    <w:p w14:paraId="2560C3F1" w14:textId="1625799F" w:rsidR="00220165" w:rsidRPr="0099528D" w:rsidRDefault="00220165" w:rsidP="00220165">
      <w:pPr>
        <w:pStyle w:val="QBO-Lgende"/>
        <w:rPr>
          <w:rFonts w:cs="Arial"/>
        </w:rPr>
      </w:pPr>
      <w:bookmarkStart w:id="13" w:name="_Toc100310485"/>
      <w:bookmarkStart w:id="14" w:name="_Toc166665752"/>
      <w:r w:rsidRPr="0099528D">
        <w:t xml:space="preserve">Figure </w:t>
      </w:r>
      <w:r w:rsidRPr="0099528D">
        <w:rPr>
          <w:noProof/>
        </w:rPr>
        <w:fldChar w:fldCharType="begin"/>
      </w:r>
      <w:r w:rsidRPr="0099528D">
        <w:rPr>
          <w:noProof/>
        </w:rPr>
        <w:instrText xml:space="preserve"> SEQ Figure \* ARABIC </w:instrText>
      </w:r>
      <w:r w:rsidRPr="0099528D">
        <w:rPr>
          <w:noProof/>
        </w:rPr>
        <w:fldChar w:fldCharType="separate"/>
      </w:r>
      <w:r w:rsidR="007F7541">
        <w:rPr>
          <w:noProof/>
        </w:rPr>
        <w:t>4</w:t>
      </w:r>
      <w:r w:rsidRPr="0099528D">
        <w:rPr>
          <w:noProof/>
        </w:rPr>
        <w:fldChar w:fldCharType="end"/>
      </w:r>
      <w:r>
        <w:rPr>
          <w:noProof/>
        </w:rPr>
        <w:t> :</w:t>
      </w:r>
      <w:r w:rsidRPr="0099528D">
        <w:t xml:space="preserve"> Répartition des consommations d'énergie et émissions de gaz à effet de serre par secteur</w:t>
      </w:r>
      <w:bookmarkEnd w:id="13"/>
      <w:bookmarkEnd w:id="14"/>
      <w:r w:rsidRPr="0099528D">
        <w:t xml:space="preserve"> </w:t>
      </w:r>
    </w:p>
    <w:p w14:paraId="0C49A868" w14:textId="77777777" w:rsidR="00220165" w:rsidRPr="00375047" w:rsidRDefault="00220165" w:rsidP="00220165">
      <w:pPr>
        <w:pStyle w:val="QBO-Sources"/>
        <w:rPr>
          <w:highlight w:val="yellow"/>
        </w:rPr>
      </w:pPr>
      <w:r w:rsidRPr="00375047">
        <w:t>Source : TerriSTORY</w:t>
      </w:r>
      <w:r w:rsidRPr="00375047">
        <w:rPr>
          <w:vertAlign w:val="superscript"/>
        </w:rPr>
        <w:t>®</w:t>
      </w:r>
      <w:r w:rsidRPr="00375047">
        <w:t xml:space="preserve">, ALTEREA, Agreste, </w:t>
      </w:r>
      <w:proofErr w:type="spellStart"/>
      <w:r w:rsidRPr="00375047">
        <w:t>Ominea</w:t>
      </w:r>
      <w:proofErr w:type="spellEnd"/>
      <w:r w:rsidRPr="00375047">
        <w:t xml:space="preserve">, </w:t>
      </w:r>
      <w:proofErr w:type="spellStart"/>
      <w:r w:rsidRPr="00375047">
        <w:t>Citepa</w:t>
      </w:r>
      <w:proofErr w:type="spellEnd"/>
      <w:r w:rsidRPr="00375047">
        <w:t>, programme Territoire Econome en Ressource, Base Carbone</w:t>
      </w:r>
      <w:r w:rsidRPr="00375047">
        <w:rPr>
          <w:vertAlign w:val="superscript"/>
        </w:rPr>
        <w:t>®</w:t>
      </w:r>
    </w:p>
    <w:p w14:paraId="31E324EC" w14:textId="6C1AE3E0" w:rsidR="00E674C2" w:rsidRPr="00220165" w:rsidRDefault="007E57EC" w:rsidP="00055A7C">
      <w:pPr>
        <w:pStyle w:val="QBO-Texte"/>
      </w:pPr>
      <w:r w:rsidRPr="00220165">
        <w:t xml:space="preserve">La production locale d’énergie ainsi que la substitution des énergies fossiles par des énergies renouvelables permet de réduire les émissions de gaz à effet de serre. Le territoire produit localement des énergies renouvelables. </w:t>
      </w:r>
      <w:r w:rsidR="00E674C2" w:rsidRPr="00220165">
        <w:t>En 2018, la production d’ENR&amp;R s’élevait à 212 GWh, soit 6% de la consommation d’énergie sur le territoire relevée sur l’année 2018. En 2022, TerriSTORY</w:t>
      </w:r>
      <w:r w:rsidR="00E674C2" w:rsidRPr="00220165">
        <w:rPr>
          <w:vertAlign w:val="superscript"/>
        </w:rPr>
        <w:t>®</w:t>
      </w:r>
      <w:r w:rsidR="00E674C2" w:rsidRPr="00220165">
        <w:t xml:space="preserve"> recense une production de </w:t>
      </w:r>
      <w:r w:rsidR="00E674C2" w:rsidRPr="00220165">
        <w:rPr>
          <w:b/>
          <w:bCs/>
        </w:rPr>
        <w:t>235 GWh</w:t>
      </w:r>
      <w:r w:rsidR="00E674C2" w:rsidRPr="00220165">
        <w:t>.</w:t>
      </w:r>
    </w:p>
    <w:p w14:paraId="2460CC2B" w14:textId="77777777" w:rsidR="00E674C2" w:rsidRDefault="00E674C2" w:rsidP="00055A7C">
      <w:pPr>
        <w:pStyle w:val="QBO-Texte"/>
        <w:jc w:val="center"/>
      </w:pPr>
      <w:r w:rsidRPr="006F5AD7">
        <w:rPr>
          <w:noProof/>
        </w:rPr>
        <mc:AlternateContent>
          <mc:Choice Requires="wps">
            <w:drawing>
              <wp:anchor distT="0" distB="0" distL="114300" distR="114300" simplePos="0" relativeHeight="252779520" behindDoc="0" locked="0" layoutInCell="1" allowOverlap="1" wp14:anchorId="7F8080C8" wp14:editId="55E8B93D">
                <wp:simplePos x="0" y="0"/>
                <wp:positionH relativeFrom="column">
                  <wp:posOffset>1701800</wp:posOffset>
                </wp:positionH>
                <wp:positionV relativeFrom="paragraph">
                  <wp:posOffset>1289196</wp:posOffset>
                </wp:positionV>
                <wp:extent cx="1072282" cy="1043012"/>
                <wp:effectExtent l="0" t="0" r="0" b="5080"/>
                <wp:wrapNone/>
                <wp:docPr id="1828083827" name="Ellipse 5"/>
                <wp:cNvGraphicFramePr/>
                <a:graphic xmlns:a="http://schemas.openxmlformats.org/drawingml/2006/main">
                  <a:graphicData uri="http://schemas.microsoft.com/office/word/2010/wordprocessingShape">
                    <wps:wsp>
                      <wps:cNvSpPr/>
                      <wps:spPr bwMode="auto">
                        <a:xfrm>
                          <a:off x="0" y="0"/>
                          <a:ext cx="1072282" cy="1043012"/>
                        </a:xfrm>
                        <a:prstGeom prst="ellipse">
                          <a:avLst/>
                        </a:prstGeom>
                        <a:solidFill>
                          <a:schemeClr val="bg2">
                            <a:lumMod val="20000"/>
                            <a:lumOff val="80000"/>
                          </a:schemeClr>
                        </a:solidFill>
                        <a:ln w="9525" cap="flat" cmpd="sng" algn="ctr">
                          <a:noFill/>
                          <a:prstDash val="solid"/>
                          <a:round/>
                          <a:headEnd type="none" w="med" len="med"/>
                          <a:tailEnd type="none" w="med" len="med"/>
                        </a:ln>
                        <a:effectLst/>
                      </wps:spPr>
                      <wps:txbx>
                        <w:txbxContent>
                          <w:p w14:paraId="0BF4D4D9" w14:textId="77777777" w:rsidR="00E674C2" w:rsidRDefault="00E674C2" w:rsidP="00E674C2">
                            <w:pPr>
                              <w:spacing w:after="0" w:line="256" w:lineRule="auto"/>
                              <w:jc w:val="center"/>
                              <w:rPr>
                                <w:rFonts w:eastAsia="Arial"/>
                                <w:b/>
                                <w:bCs/>
                                <w:color w:val="000000"/>
                                <w:kern w:val="24"/>
                                <w:sz w:val="21"/>
                                <w:szCs w:val="21"/>
                              </w:rPr>
                            </w:pPr>
                            <w:r>
                              <w:rPr>
                                <w:rFonts w:eastAsia="Arial"/>
                                <w:b/>
                                <w:bCs/>
                                <w:color w:val="000000"/>
                                <w:kern w:val="24"/>
                                <w:sz w:val="21"/>
                                <w:szCs w:val="21"/>
                              </w:rPr>
                              <w:t>235</w:t>
                            </w:r>
                            <w:r>
                              <w:rPr>
                                <w:rFonts w:eastAsia="Arial"/>
                                <w:b/>
                                <w:bCs/>
                                <w:color w:val="000000"/>
                                <w:kern w:val="24"/>
                                <w:sz w:val="21"/>
                                <w:szCs w:val="21"/>
                              </w:rPr>
                              <w:br/>
                              <w:t>GWh</w:t>
                            </w:r>
                          </w:p>
                        </w:txbxContent>
                      </wps:txbx>
                      <wps:bodyPr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7F8080C8" id="_x0000_s1031" style="position:absolute;left:0;text-align:left;margin-left:134pt;margin-top:101.5pt;width:84.45pt;height:82.15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" fillcolor="#ecebeb [670]" stroked="f">
                <v:textbox inset="1.44pt,0,0,0">
                  <w:txbxContent>
                    <w:p w14:paraId="0BF4D4D9" w14:textId="77777777" w:rsidR="00E674C2" w:rsidRDefault="00E674C2" w:rsidP="00E674C2">
                      <w:pPr>
                        <w:spacing w:after="0" w:line="256" w:lineRule="auto"/>
                        <w:jc w:val="center"/>
                        <w:rPr>
                          <w:rFonts w:eastAsia="Arial"/>
                          <w:b/>
                          <w:bCs/>
                          <w:color w:val="000000"/>
                          <w:kern w:val="24"/>
                          <w:sz w:val="21"/>
                          <w:szCs w:val="21"/>
                        </w:rPr>
                      </w:pPr>
                      <w:r>
                        <w:rPr>
                          <w:rFonts w:eastAsia="Arial"/>
                          <w:b/>
                          <w:bCs/>
                          <w:color w:val="000000"/>
                          <w:kern w:val="24"/>
                          <w:sz w:val="21"/>
                          <w:szCs w:val="21"/>
                        </w:rPr>
                        <w:t>235</w:t>
                      </w:r>
                      <w:r>
                        <w:rPr>
                          <w:rFonts w:eastAsia="Arial"/>
                          <w:b/>
                          <w:bCs/>
                          <w:color w:val="000000"/>
                          <w:kern w:val="24"/>
                          <w:sz w:val="21"/>
                          <w:szCs w:val="21"/>
                        </w:rPr>
                        <w:br/>
                        <w:t>GWh</w:t>
                      </w:r>
                    </w:p>
                  </w:txbxContent>
                </v:textbox>
              </v:oval>
            </w:pict>
          </mc:Fallback>
        </mc:AlternateContent>
      </w:r>
      <w:r w:rsidRPr="006F5AD7">
        <w:rPr>
          <w:noProof/>
        </w:rPr>
        <w:drawing>
          <wp:inline distT="0" distB="0" distL="0" distR="0" wp14:anchorId="754523D3" wp14:editId="7DF5AB66">
            <wp:extent cx="5314315" cy="3145790"/>
            <wp:effectExtent l="0" t="0" r="635" b="0"/>
            <wp:docPr id="394846234" name="Graphique 1">
              <a:extLst xmlns:a="http://schemas.openxmlformats.org/drawingml/2006/main">
                <a:ext uri="{FF2B5EF4-FFF2-40B4-BE49-F238E27FC236}">
                  <a16:creationId xmlns:a16="http://schemas.microsoft.com/office/drawing/2014/main" id="{9A877AA3-646D-5FB5-00F7-DE3FD02164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26A7CFC" w14:textId="179E8F53" w:rsidR="00E674C2" w:rsidRPr="00220165" w:rsidRDefault="00E674C2" w:rsidP="00E674C2">
      <w:pPr>
        <w:pStyle w:val="Lgende"/>
        <w:rPr>
          <w:rFonts w:asciiTheme="minorHAnsi" w:hAnsiTheme="minorHAnsi"/>
          <w:b w:val="0"/>
          <w:color w:val="A29F9F" w:themeColor="background2"/>
          <w:sz w:val="16"/>
          <w:u w:val="single"/>
        </w:rPr>
      </w:pPr>
      <w:r>
        <w:t xml:space="preserve">Figure </w:t>
      </w:r>
      <w:r w:rsidR="005E669F">
        <w:fldChar w:fldCharType="begin"/>
      </w:r>
      <w:r w:rsidR="005E669F">
        <w:instrText xml:space="preserve"> SEQ Figure \* ARABIC </w:instrText>
      </w:r>
      <w:r w:rsidR="005E669F">
        <w:fldChar w:fldCharType="separate"/>
      </w:r>
      <w:r w:rsidR="007F7541">
        <w:rPr>
          <w:noProof/>
        </w:rPr>
        <w:t>5</w:t>
      </w:r>
      <w:r w:rsidR="005E669F">
        <w:rPr>
          <w:noProof/>
        </w:rPr>
        <w:fldChar w:fldCharType="end"/>
      </w:r>
      <w:r>
        <w:t xml:space="preserve"> : Répartition de la production d'énergies renouvelables et de récupération (ENR&amp;R) selon le type d'énergie en 2022</w:t>
      </w:r>
      <w:r>
        <w:br/>
      </w:r>
      <w:r w:rsidRPr="00220165">
        <w:rPr>
          <w:rFonts w:asciiTheme="minorHAnsi" w:hAnsiTheme="minorHAnsi"/>
          <w:b w:val="0"/>
          <w:color w:val="A29F9F" w:themeColor="background2"/>
          <w:sz w:val="16"/>
          <w:u w:val="single"/>
        </w:rPr>
        <w:t>Source : TerriSTORY®, réalisation ALTEREA</w:t>
      </w:r>
    </w:p>
    <w:p w14:paraId="14447503" w14:textId="77777777" w:rsidR="00E674C2" w:rsidRDefault="00E674C2">
      <w:pPr>
        <w:rPr>
          <w:rFonts w:eastAsia="Times New Roman" w:cs="Times New Roman"/>
          <w:highlight w:val="yellow"/>
        </w:rPr>
      </w:pPr>
    </w:p>
    <w:p w14:paraId="58515FC8" w14:textId="77777777" w:rsidR="00220165" w:rsidRDefault="00220165">
      <w:pPr>
        <w:spacing w:after="200" w:line="276" w:lineRule="auto"/>
        <w:jc w:val="left"/>
        <w:rPr>
          <w:rFonts w:eastAsia="Times New Roman" w:cs="Times New Roman"/>
        </w:rPr>
      </w:pPr>
      <w:r>
        <w:rPr>
          <w:rFonts w:eastAsia="Times New Roman" w:cs="Times New Roman"/>
        </w:rPr>
        <w:br w:type="page"/>
      </w:r>
    </w:p>
    <w:p w14:paraId="3B0A9C9C" w14:textId="77777777" w:rsidR="00220165" w:rsidRPr="00347EB3" w:rsidRDefault="00220165" w:rsidP="00220165">
      <w:pPr>
        <w:pStyle w:val="QBO-Texte"/>
      </w:pPr>
      <w:r w:rsidRPr="006F5AD7">
        <w:lastRenderedPageBreak/>
        <w:t xml:space="preserve">Le tableau suivant présente la production d’ENR&amp;R actuelle, le potentiel de développement et la production maximale estimée par type de filière.  </w:t>
      </w:r>
    </w:p>
    <w:tbl>
      <w:tblPr>
        <w:tblStyle w:val="TableauGrille5Fonc-Accentuation1"/>
        <w:tblW w:w="5000" w:type="pct"/>
        <w:jc w:val="center"/>
        <w:tblBorders>
          <w:top w:val="dotted" w:sz="4" w:space="0" w:color="FFFFFF"/>
          <w:left w:val="dotted" w:sz="4" w:space="0" w:color="FFFFFF"/>
          <w:bottom w:val="dotted" w:sz="4" w:space="0" w:color="FFFFFF"/>
          <w:right w:val="dotted" w:sz="4" w:space="0" w:color="FFFFFF"/>
          <w:insideH w:val="dotted" w:sz="4" w:space="0" w:color="FFFFFF"/>
          <w:insideV w:val="dotted" w:sz="4" w:space="0" w:color="FFFFFF"/>
        </w:tblBorders>
        <w:tblLayout w:type="fixed"/>
        <w:tblLook w:val="04A0" w:firstRow="1" w:lastRow="0" w:firstColumn="1" w:lastColumn="0" w:noHBand="0" w:noVBand="1"/>
      </w:tblPr>
      <w:tblGrid>
        <w:gridCol w:w="1231"/>
        <w:gridCol w:w="1884"/>
        <w:gridCol w:w="1415"/>
        <w:gridCol w:w="1417"/>
        <w:gridCol w:w="1560"/>
        <w:gridCol w:w="1553"/>
      </w:tblGrid>
      <w:tr w:rsidR="00220165" w:rsidRPr="006F5AD7" w14:paraId="2B7BC689" w14:textId="77777777" w:rsidTr="00220165">
        <w:trPr>
          <w:cnfStyle w:val="100000000000" w:firstRow="1" w:lastRow="0" w:firstColumn="0" w:lastColumn="0" w:oddVBand="0" w:evenVBand="0" w:oddHBand="0"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679" w:type="pct"/>
            <w:tcBorders>
              <w:top w:val="none" w:sz="0" w:space="0" w:color="auto"/>
              <w:left w:val="none" w:sz="0" w:space="0" w:color="auto"/>
              <w:right w:val="none" w:sz="0" w:space="0" w:color="auto"/>
            </w:tcBorders>
            <w:shd w:val="clear" w:color="auto" w:fill="auto"/>
          </w:tcPr>
          <w:p w14:paraId="2126D9ED" w14:textId="77777777" w:rsidR="00220165" w:rsidRPr="006F5AD7" w:rsidRDefault="00220165" w:rsidP="000223B3">
            <w:pPr>
              <w:pStyle w:val="SGBDS-Normal"/>
              <w:spacing w:before="60" w:after="60"/>
              <w:jc w:val="center"/>
              <w:rPr>
                <w:rFonts w:asciiTheme="majorHAnsi" w:hAnsiTheme="majorHAnsi" w:cstheme="majorHAnsi"/>
                <w:color w:val="FFFFFF"/>
                <w:sz w:val="18"/>
                <w:szCs w:val="18"/>
              </w:rPr>
            </w:pPr>
          </w:p>
        </w:tc>
        <w:tc>
          <w:tcPr>
            <w:tcW w:w="1040" w:type="pct"/>
            <w:tcBorders>
              <w:top w:val="none" w:sz="0" w:space="0" w:color="auto"/>
              <w:left w:val="none" w:sz="0" w:space="0" w:color="auto"/>
              <w:right w:val="none" w:sz="0" w:space="0" w:color="auto"/>
            </w:tcBorders>
            <w:shd w:val="clear" w:color="auto" w:fill="EA9600" w:themeFill="accent3" w:themeFillShade="80"/>
            <w:noWrap/>
            <w:vAlign w:val="center"/>
            <w:hideMark/>
          </w:tcPr>
          <w:p w14:paraId="6A8316FC" w14:textId="77777777" w:rsidR="00220165" w:rsidRPr="006F5AD7" w:rsidRDefault="00220165" w:rsidP="000223B3">
            <w:pPr>
              <w:pStyle w:val="SGBDS-Normal"/>
              <w:spacing w:before="60" w:after="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sz w:val="18"/>
                <w:szCs w:val="18"/>
              </w:rPr>
            </w:pPr>
            <w:r w:rsidRPr="006F5AD7">
              <w:rPr>
                <w:rFonts w:asciiTheme="majorHAnsi" w:hAnsiTheme="majorHAnsi" w:cstheme="majorHAnsi"/>
                <w:color w:val="FFFFFF"/>
                <w:sz w:val="18"/>
                <w:szCs w:val="18"/>
              </w:rPr>
              <w:t>Filière ENR&amp;R</w:t>
            </w:r>
          </w:p>
        </w:tc>
        <w:tc>
          <w:tcPr>
            <w:tcW w:w="781" w:type="pct"/>
            <w:tcBorders>
              <w:top w:val="none" w:sz="0" w:space="0" w:color="auto"/>
              <w:left w:val="none" w:sz="0" w:space="0" w:color="auto"/>
              <w:right w:val="none" w:sz="0" w:space="0" w:color="auto"/>
            </w:tcBorders>
            <w:shd w:val="clear" w:color="auto" w:fill="EA9600" w:themeFill="accent3" w:themeFillShade="80"/>
            <w:noWrap/>
            <w:vAlign w:val="center"/>
          </w:tcPr>
          <w:p w14:paraId="4215C319" w14:textId="77777777" w:rsidR="00220165" w:rsidRPr="006F5AD7" w:rsidRDefault="00220165" w:rsidP="000223B3">
            <w:pPr>
              <w:pStyle w:val="SGBDS-Normal"/>
              <w:spacing w:before="60" w:after="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FFFFFF"/>
                <w:sz w:val="18"/>
                <w:szCs w:val="18"/>
              </w:rPr>
            </w:pPr>
            <w:r w:rsidRPr="006F5AD7">
              <w:rPr>
                <w:rFonts w:asciiTheme="majorHAnsi" w:hAnsiTheme="majorHAnsi" w:cstheme="majorHAnsi"/>
                <w:color w:val="FFFFFF"/>
                <w:sz w:val="18"/>
                <w:szCs w:val="18"/>
              </w:rPr>
              <w:t>Production 2019</w:t>
            </w:r>
          </w:p>
          <w:p w14:paraId="57EA7218" w14:textId="77777777" w:rsidR="00220165" w:rsidRDefault="00220165" w:rsidP="000223B3">
            <w:pPr>
              <w:pStyle w:val="SGBDS-Normal"/>
              <w:spacing w:before="60" w:after="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FFFFFF"/>
                <w:sz w:val="18"/>
                <w:szCs w:val="18"/>
              </w:rPr>
            </w:pPr>
            <w:r w:rsidRPr="006F5AD7">
              <w:rPr>
                <w:rFonts w:asciiTheme="majorHAnsi" w:hAnsiTheme="majorHAnsi" w:cstheme="majorHAnsi"/>
                <w:color w:val="FFFFFF"/>
                <w:sz w:val="18"/>
                <w:szCs w:val="18"/>
              </w:rPr>
              <w:t>(GWh)</w:t>
            </w:r>
          </w:p>
          <w:p w14:paraId="5827DEA8" w14:textId="77777777" w:rsidR="00220165" w:rsidRPr="006F5AD7" w:rsidRDefault="00220165" w:rsidP="000223B3">
            <w:pPr>
              <w:pStyle w:val="SGBDS-Normal"/>
              <w:spacing w:before="60" w:after="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sz w:val="18"/>
                <w:szCs w:val="18"/>
              </w:rPr>
            </w:pPr>
            <w:r>
              <w:rPr>
                <w:rFonts w:asciiTheme="majorHAnsi" w:hAnsiTheme="majorHAnsi" w:cstheme="majorHAnsi"/>
                <w:color w:val="FFFFFF"/>
                <w:sz w:val="18"/>
                <w:szCs w:val="18"/>
              </w:rPr>
              <w:t>SDE QBO</w:t>
            </w:r>
          </w:p>
        </w:tc>
        <w:tc>
          <w:tcPr>
            <w:tcW w:w="782" w:type="pct"/>
            <w:tcBorders>
              <w:top w:val="none" w:sz="0" w:space="0" w:color="auto"/>
              <w:left w:val="none" w:sz="0" w:space="0" w:color="auto"/>
              <w:right w:val="none" w:sz="0" w:space="0" w:color="auto"/>
            </w:tcBorders>
            <w:shd w:val="clear" w:color="auto" w:fill="EA9600" w:themeFill="accent3" w:themeFillShade="80"/>
            <w:vAlign w:val="center"/>
          </w:tcPr>
          <w:p w14:paraId="0C95A801" w14:textId="77777777" w:rsidR="00220165" w:rsidRPr="006F5AD7" w:rsidRDefault="00220165" w:rsidP="000223B3">
            <w:pPr>
              <w:pStyle w:val="SGBDS-Normal"/>
              <w:spacing w:before="60" w:after="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FFFFFF"/>
                <w:sz w:val="18"/>
                <w:szCs w:val="18"/>
              </w:rPr>
            </w:pPr>
            <w:r w:rsidRPr="006F5AD7">
              <w:rPr>
                <w:rFonts w:asciiTheme="majorHAnsi" w:hAnsiTheme="majorHAnsi" w:cstheme="majorHAnsi"/>
                <w:color w:val="FFFFFF"/>
                <w:sz w:val="18"/>
                <w:szCs w:val="18"/>
              </w:rPr>
              <w:t>Production 202</w:t>
            </w:r>
            <w:r>
              <w:rPr>
                <w:rFonts w:asciiTheme="majorHAnsi" w:hAnsiTheme="majorHAnsi" w:cstheme="majorHAnsi"/>
                <w:color w:val="FFFFFF"/>
                <w:sz w:val="18"/>
                <w:szCs w:val="18"/>
              </w:rPr>
              <w:t>2</w:t>
            </w:r>
          </w:p>
          <w:p w14:paraId="645AE116" w14:textId="77777777" w:rsidR="00220165" w:rsidRPr="006F5AD7" w:rsidRDefault="00220165" w:rsidP="000223B3">
            <w:pPr>
              <w:pStyle w:val="SGBDS-Normal"/>
              <w:spacing w:before="60" w:after="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FFFFFF"/>
                <w:sz w:val="18"/>
                <w:szCs w:val="18"/>
              </w:rPr>
            </w:pPr>
            <w:r w:rsidRPr="006F5AD7">
              <w:rPr>
                <w:rFonts w:asciiTheme="majorHAnsi" w:hAnsiTheme="majorHAnsi" w:cstheme="majorHAnsi"/>
                <w:color w:val="FFFFFF"/>
                <w:sz w:val="18"/>
                <w:szCs w:val="18"/>
              </w:rPr>
              <w:t>(GWh)</w:t>
            </w:r>
          </w:p>
          <w:p w14:paraId="0D7A0813" w14:textId="77777777" w:rsidR="00220165" w:rsidRPr="006F5AD7" w:rsidRDefault="00220165" w:rsidP="000223B3">
            <w:pPr>
              <w:pStyle w:val="SGBDS-Normal"/>
              <w:spacing w:before="60" w:after="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sz w:val="18"/>
                <w:szCs w:val="18"/>
              </w:rPr>
            </w:pPr>
            <w:r w:rsidRPr="006F5AD7">
              <w:rPr>
                <w:rFonts w:asciiTheme="majorHAnsi" w:hAnsiTheme="majorHAnsi" w:cstheme="majorHAnsi"/>
                <w:color w:val="FFFFFF"/>
                <w:sz w:val="18"/>
                <w:szCs w:val="18"/>
              </w:rPr>
              <w:t>TerriSTORY</w:t>
            </w:r>
            <w:r w:rsidRPr="006F5AD7">
              <w:rPr>
                <w:rFonts w:asciiTheme="majorHAnsi" w:hAnsiTheme="majorHAnsi" w:cstheme="majorHAnsi"/>
                <w:color w:val="FFFFFF"/>
                <w:sz w:val="18"/>
                <w:szCs w:val="18"/>
                <w:vertAlign w:val="superscript"/>
              </w:rPr>
              <w:t>®</w:t>
            </w:r>
          </w:p>
        </w:tc>
        <w:tc>
          <w:tcPr>
            <w:tcW w:w="861" w:type="pct"/>
            <w:tcBorders>
              <w:top w:val="none" w:sz="0" w:space="0" w:color="auto"/>
              <w:left w:val="none" w:sz="0" w:space="0" w:color="auto"/>
              <w:right w:val="none" w:sz="0" w:space="0" w:color="auto"/>
            </w:tcBorders>
            <w:shd w:val="clear" w:color="auto" w:fill="EA9600" w:themeFill="accent3" w:themeFillShade="80"/>
            <w:vAlign w:val="center"/>
          </w:tcPr>
          <w:p w14:paraId="1D9476C7" w14:textId="77777777" w:rsidR="00220165" w:rsidRPr="006F5AD7" w:rsidRDefault="00220165" w:rsidP="000223B3">
            <w:pPr>
              <w:pStyle w:val="SGBDS-Normal"/>
              <w:spacing w:before="60" w:after="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sz w:val="18"/>
                <w:szCs w:val="18"/>
              </w:rPr>
            </w:pPr>
            <w:r w:rsidRPr="006F5AD7">
              <w:rPr>
                <w:rFonts w:asciiTheme="majorHAnsi" w:hAnsiTheme="majorHAnsi" w:cstheme="majorHAnsi"/>
                <w:color w:val="FFFFFF"/>
                <w:sz w:val="18"/>
                <w:szCs w:val="18"/>
              </w:rPr>
              <w:t>Potentiel de développement (GWh)</w:t>
            </w:r>
          </w:p>
        </w:tc>
        <w:tc>
          <w:tcPr>
            <w:tcW w:w="857" w:type="pct"/>
            <w:tcBorders>
              <w:top w:val="none" w:sz="0" w:space="0" w:color="auto"/>
              <w:left w:val="none" w:sz="0" w:space="0" w:color="auto"/>
              <w:right w:val="none" w:sz="0" w:space="0" w:color="auto"/>
            </w:tcBorders>
            <w:shd w:val="clear" w:color="auto" w:fill="EA9600" w:themeFill="accent3" w:themeFillShade="80"/>
            <w:vAlign w:val="center"/>
          </w:tcPr>
          <w:p w14:paraId="639D7AC5" w14:textId="77777777" w:rsidR="00220165" w:rsidRPr="006F5AD7" w:rsidRDefault="00220165" w:rsidP="000223B3">
            <w:pPr>
              <w:pStyle w:val="SGBDS-Normal"/>
              <w:spacing w:before="60" w:after="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sz w:val="18"/>
                <w:szCs w:val="18"/>
              </w:rPr>
            </w:pPr>
            <w:r w:rsidRPr="006F5AD7">
              <w:rPr>
                <w:rFonts w:asciiTheme="majorHAnsi" w:hAnsiTheme="majorHAnsi" w:cstheme="majorHAnsi"/>
                <w:color w:val="FFFFFF"/>
                <w:sz w:val="18"/>
                <w:szCs w:val="18"/>
              </w:rPr>
              <w:t>Production maximale estimée (actuelle + potentiel, GWh)</w:t>
            </w:r>
          </w:p>
        </w:tc>
      </w:tr>
      <w:tr w:rsidR="00220165" w:rsidRPr="006F5AD7" w14:paraId="22194F41" w14:textId="77777777" w:rsidTr="00220165">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679" w:type="pct"/>
            <w:vMerge w:val="restart"/>
            <w:tcBorders>
              <w:left w:val="none" w:sz="0" w:space="0" w:color="auto"/>
            </w:tcBorders>
            <w:shd w:val="clear" w:color="auto" w:fill="EA9600" w:themeFill="accent3" w:themeFillShade="80"/>
            <w:vAlign w:val="center"/>
          </w:tcPr>
          <w:p w14:paraId="467C4FFC" w14:textId="77777777" w:rsidR="00220165" w:rsidRPr="006F5AD7" w:rsidRDefault="00220165" w:rsidP="000223B3">
            <w:pPr>
              <w:pStyle w:val="SGBDS-Normal"/>
              <w:spacing w:before="60" w:after="60"/>
              <w:jc w:val="center"/>
              <w:rPr>
                <w:rFonts w:asciiTheme="majorHAnsi" w:hAnsiTheme="majorHAnsi" w:cstheme="majorHAnsi"/>
                <w:color w:val="FFFFFF"/>
                <w:sz w:val="18"/>
                <w:szCs w:val="18"/>
              </w:rPr>
            </w:pPr>
            <w:r w:rsidRPr="006F5AD7">
              <w:rPr>
                <w:rFonts w:asciiTheme="majorHAnsi" w:hAnsiTheme="majorHAnsi" w:cstheme="majorHAnsi"/>
                <w:color w:val="FFFFFF"/>
                <w:sz w:val="18"/>
                <w:szCs w:val="18"/>
              </w:rPr>
              <w:t>Chaleur</w:t>
            </w:r>
          </w:p>
        </w:tc>
        <w:tc>
          <w:tcPr>
            <w:tcW w:w="1040" w:type="pct"/>
            <w:shd w:val="clear" w:color="auto" w:fill="EA9600" w:themeFill="accent3" w:themeFillShade="80"/>
            <w:noWrap/>
            <w:vAlign w:val="center"/>
          </w:tcPr>
          <w:p w14:paraId="2A1544B3" w14:textId="77777777" w:rsidR="00220165" w:rsidRPr="006F5AD7" w:rsidRDefault="00220165" w:rsidP="000223B3">
            <w:pPr>
              <w:pStyle w:val="SGBDS-Normal"/>
              <w:spacing w:before="60" w:after="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FFFF"/>
                <w:sz w:val="18"/>
                <w:szCs w:val="18"/>
              </w:rPr>
            </w:pPr>
            <w:r w:rsidRPr="006F5AD7">
              <w:rPr>
                <w:rFonts w:asciiTheme="majorHAnsi" w:hAnsiTheme="majorHAnsi" w:cstheme="majorHAnsi"/>
                <w:color w:val="FFFFFF"/>
                <w:sz w:val="18"/>
                <w:szCs w:val="18"/>
              </w:rPr>
              <w:t>Méthanisation</w:t>
            </w:r>
          </w:p>
        </w:tc>
        <w:tc>
          <w:tcPr>
            <w:tcW w:w="781" w:type="pct"/>
            <w:noWrap/>
            <w:vAlign w:val="center"/>
          </w:tcPr>
          <w:p w14:paraId="0CF94BD1" w14:textId="77777777" w:rsidR="00220165" w:rsidRPr="006F5AD7" w:rsidRDefault="00220165" w:rsidP="000223B3">
            <w:pPr>
              <w:pStyle w:val="SGBDS-Normal"/>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6F5AD7">
              <w:rPr>
                <w:rFonts w:asciiTheme="majorHAnsi" w:hAnsiTheme="majorHAnsi" w:cstheme="majorHAnsi"/>
                <w:sz w:val="18"/>
                <w:szCs w:val="18"/>
              </w:rPr>
              <w:t>2,3</w:t>
            </w:r>
          </w:p>
        </w:tc>
        <w:tc>
          <w:tcPr>
            <w:tcW w:w="782" w:type="pct"/>
            <w:vAlign w:val="center"/>
          </w:tcPr>
          <w:p w14:paraId="52DE3AA9" w14:textId="77777777" w:rsidR="00220165" w:rsidRPr="006F5AD7" w:rsidRDefault="00220165" w:rsidP="000223B3">
            <w:pPr>
              <w:pStyle w:val="SGBDS-Normal"/>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7,0</w:t>
            </w:r>
          </w:p>
        </w:tc>
        <w:tc>
          <w:tcPr>
            <w:tcW w:w="861" w:type="pct"/>
            <w:vAlign w:val="center"/>
          </w:tcPr>
          <w:p w14:paraId="327D45E7" w14:textId="77777777" w:rsidR="00220165" w:rsidRPr="006F5AD7" w:rsidRDefault="00220165" w:rsidP="000223B3">
            <w:pPr>
              <w:pStyle w:val="SGBDS-Normal"/>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6F5AD7">
              <w:rPr>
                <w:rFonts w:asciiTheme="majorHAnsi" w:hAnsiTheme="majorHAnsi" w:cstheme="majorHAnsi"/>
                <w:sz w:val="18"/>
                <w:szCs w:val="18"/>
              </w:rPr>
              <w:t>-</w:t>
            </w:r>
          </w:p>
        </w:tc>
        <w:tc>
          <w:tcPr>
            <w:tcW w:w="857" w:type="pct"/>
            <w:vAlign w:val="center"/>
          </w:tcPr>
          <w:p w14:paraId="0AEF86F6" w14:textId="77777777" w:rsidR="00220165" w:rsidRPr="006F5AD7" w:rsidRDefault="00220165" w:rsidP="000223B3">
            <w:pPr>
              <w:pStyle w:val="SGBDS-Normal"/>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7,0</w:t>
            </w:r>
          </w:p>
        </w:tc>
      </w:tr>
      <w:tr w:rsidR="00220165" w:rsidRPr="006F5AD7" w14:paraId="075CBF38" w14:textId="77777777" w:rsidTr="00220165">
        <w:trPr>
          <w:trHeight w:val="294"/>
          <w:jc w:val="center"/>
        </w:trPr>
        <w:tc>
          <w:tcPr>
            <w:cnfStyle w:val="001000000000" w:firstRow="0" w:lastRow="0" w:firstColumn="1" w:lastColumn="0" w:oddVBand="0" w:evenVBand="0" w:oddHBand="0" w:evenHBand="0" w:firstRowFirstColumn="0" w:firstRowLastColumn="0" w:lastRowFirstColumn="0" w:lastRowLastColumn="0"/>
            <w:tcW w:w="679" w:type="pct"/>
            <w:vMerge/>
            <w:tcBorders>
              <w:left w:val="none" w:sz="0" w:space="0" w:color="auto"/>
            </w:tcBorders>
            <w:shd w:val="clear" w:color="auto" w:fill="EA9600" w:themeFill="accent3" w:themeFillShade="80"/>
            <w:vAlign w:val="center"/>
          </w:tcPr>
          <w:p w14:paraId="400239D2" w14:textId="77777777" w:rsidR="00220165" w:rsidRPr="006F5AD7" w:rsidRDefault="00220165" w:rsidP="000223B3">
            <w:pPr>
              <w:pStyle w:val="SGBDS-Normal"/>
              <w:spacing w:before="60" w:after="60"/>
              <w:jc w:val="center"/>
              <w:rPr>
                <w:rFonts w:asciiTheme="majorHAnsi" w:hAnsiTheme="majorHAnsi" w:cstheme="majorHAnsi"/>
                <w:color w:val="FFFFFF"/>
                <w:sz w:val="18"/>
                <w:szCs w:val="18"/>
              </w:rPr>
            </w:pPr>
          </w:p>
        </w:tc>
        <w:tc>
          <w:tcPr>
            <w:tcW w:w="1040" w:type="pct"/>
            <w:shd w:val="clear" w:color="auto" w:fill="EA9600" w:themeFill="accent3" w:themeFillShade="80"/>
            <w:noWrap/>
            <w:vAlign w:val="center"/>
          </w:tcPr>
          <w:p w14:paraId="3070F286" w14:textId="77777777" w:rsidR="00220165" w:rsidRPr="006F5AD7" w:rsidRDefault="00220165" w:rsidP="000223B3">
            <w:pPr>
              <w:pStyle w:val="SGBDS-Normal"/>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FFFF"/>
                <w:sz w:val="18"/>
                <w:szCs w:val="18"/>
              </w:rPr>
            </w:pPr>
            <w:r w:rsidRPr="006F5AD7">
              <w:rPr>
                <w:rFonts w:asciiTheme="majorHAnsi" w:hAnsiTheme="majorHAnsi" w:cstheme="majorHAnsi"/>
                <w:color w:val="FFFFFF"/>
                <w:sz w:val="18"/>
                <w:szCs w:val="18"/>
              </w:rPr>
              <w:t>Valorisation des déchets</w:t>
            </w:r>
          </w:p>
        </w:tc>
        <w:tc>
          <w:tcPr>
            <w:tcW w:w="781" w:type="pct"/>
            <w:noWrap/>
            <w:vAlign w:val="center"/>
          </w:tcPr>
          <w:p w14:paraId="7814D239" w14:textId="77777777" w:rsidR="00220165" w:rsidRPr="006F5AD7" w:rsidRDefault="00220165" w:rsidP="000223B3">
            <w:pPr>
              <w:pStyle w:val="SGBDS-Normal"/>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6F5AD7">
              <w:rPr>
                <w:rFonts w:asciiTheme="majorHAnsi" w:hAnsiTheme="majorHAnsi" w:cstheme="majorHAnsi"/>
                <w:sz w:val="18"/>
                <w:szCs w:val="18"/>
              </w:rPr>
              <w:t>47,0</w:t>
            </w:r>
          </w:p>
        </w:tc>
        <w:tc>
          <w:tcPr>
            <w:tcW w:w="782" w:type="pct"/>
            <w:vAlign w:val="center"/>
          </w:tcPr>
          <w:p w14:paraId="51D1C2DA" w14:textId="77777777" w:rsidR="00220165" w:rsidRPr="006F5AD7" w:rsidRDefault="00220165" w:rsidP="000223B3">
            <w:pPr>
              <w:pStyle w:val="SGBDS-Normal"/>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16</w:t>
            </w:r>
          </w:p>
        </w:tc>
        <w:tc>
          <w:tcPr>
            <w:tcW w:w="861" w:type="pct"/>
            <w:vAlign w:val="center"/>
          </w:tcPr>
          <w:p w14:paraId="772CFFA1" w14:textId="77777777" w:rsidR="00220165" w:rsidRPr="006F5AD7" w:rsidRDefault="00220165" w:rsidP="000223B3">
            <w:pPr>
              <w:pStyle w:val="SGBDS-Normal"/>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6F5AD7">
              <w:rPr>
                <w:rFonts w:asciiTheme="majorHAnsi" w:hAnsiTheme="majorHAnsi" w:cstheme="majorHAnsi"/>
                <w:sz w:val="18"/>
                <w:szCs w:val="18"/>
              </w:rPr>
              <w:t xml:space="preserve">142,0 </w:t>
            </w:r>
            <w:r w:rsidRPr="006F5AD7">
              <w:rPr>
                <w:rFonts w:asciiTheme="majorHAnsi" w:hAnsiTheme="majorHAnsi" w:cstheme="majorHAnsi"/>
                <w:sz w:val="18"/>
                <w:szCs w:val="18"/>
              </w:rPr>
              <w:br/>
            </w:r>
            <w:r w:rsidRPr="006F5AD7">
              <w:rPr>
                <w:rFonts w:asciiTheme="majorHAnsi" w:hAnsiTheme="majorHAnsi" w:cstheme="majorHAnsi"/>
                <w:i/>
                <w:iCs/>
                <w:sz w:val="18"/>
                <w:szCs w:val="18"/>
              </w:rPr>
              <w:t>(biogaz)</w:t>
            </w:r>
          </w:p>
        </w:tc>
        <w:tc>
          <w:tcPr>
            <w:tcW w:w="857" w:type="pct"/>
            <w:vAlign w:val="center"/>
          </w:tcPr>
          <w:p w14:paraId="1457CCE9" w14:textId="77777777" w:rsidR="00220165" w:rsidRPr="006F5AD7" w:rsidRDefault="00220165" w:rsidP="000223B3">
            <w:pPr>
              <w:pStyle w:val="SGBDS-Normal"/>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158,0</w:t>
            </w:r>
          </w:p>
        </w:tc>
      </w:tr>
      <w:tr w:rsidR="00220165" w:rsidRPr="006F5AD7" w14:paraId="08AAB177" w14:textId="77777777" w:rsidTr="00220165">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679" w:type="pct"/>
            <w:vMerge/>
            <w:tcBorders>
              <w:left w:val="none" w:sz="0" w:space="0" w:color="auto"/>
            </w:tcBorders>
            <w:shd w:val="clear" w:color="auto" w:fill="EA9600" w:themeFill="accent3" w:themeFillShade="80"/>
            <w:vAlign w:val="center"/>
          </w:tcPr>
          <w:p w14:paraId="0C208025" w14:textId="77777777" w:rsidR="00220165" w:rsidRPr="006F5AD7" w:rsidRDefault="00220165" w:rsidP="000223B3">
            <w:pPr>
              <w:pStyle w:val="SGBDS-Normal"/>
              <w:spacing w:before="60" w:after="60"/>
              <w:jc w:val="center"/>
              <w:rPr>
                <w:rFonts w:asciiTheme="majorHAnsi" w:hAnsiTheme="majorHAnsi" w:cstheme="majorHAnsi"/>
                <w:color w:val="FFFFFF"/>
                <w:sz w:val="18"/>
                <w:szCs w:val="18"/>
              </w:rPr>
            </w:pPr>
          </w:p>
        </w:tc>
        <w:tc>
          <w:tcPr>
            <w:tcW w:w="1040" w:type="pct"/>
            <w:shd w:val="clear" w:color="auto" w:fill="EA9600" w:themeFill="accent3" w:themeFillShade="80"/>
            <w:noWrap/>
            <w:vAlign w:val="center"/>
          </w:tcPr>
          <w:p w14:paraId="55E0B2C7" w14:textId="77777777" w:rsidR="00220165" w:rsidRPr="006F5AD7" w:rsidRDefault="00220165" w:rsidP="000223B3">
            <w:pPr>
              <w:pStyle w:val="SGBDS-Normal"/>
              <w:spacing w:before="60" w:after="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FFFF"/>
                <w:sz w:val="18"/>
                <w:szCs w:val="18"/>
              </w:rPr>
            </w:pPr>
            <w:r w:rsidRPr="006F5AD7">
              <w:rPr>
                <w:rFonts w:asciiTheme="majorHAnsi" w:hAnsiTheme="majorHAnsi" w:cstheme="majorHAnsi"/>
                <w:color w:val="FFFFFF"/>
                <w:sz w:val="18"/>
                <w:szCs w:val="18"/>
              </w:rPr>
              <w:t>Solaire thermique</w:t>
            </w:r>
          </w:p>
        </w:tc>
        <w:tc>
          <w:tcPr>
            <w:tcW w:w="781" w:type="pct"/>
            <w:noWrap/>
            <w:vAlign w:val="center"/>
          </w:tcPr>
          <w:p w14:paraId="283763FF" w14:textId="77777777" w:rsidR="00220165" w:rsidRPr="006F5AD7" w:rsidRDefault="00220165" w:rsidP="000223B3">
            <w:pPr>
              <w:pStyle w:val="SGBDS-Normal"/>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6F5AD7">
              <w:rPr>
                <w:rFonts w:asciiTheme="majorHAnsi" w:hAnsiTheme="majorHAnsi" w:cstheme="majorHAnsi"/>
                <w:sz w:val="18"/>
                <w:szCs w:val="18"/>
              </w:rPr>
              <w:t>0,1</w:t>
            </w:r>
          </w:p>
        </w:tc>
        <w:tc>
          <w:tcPr>
            <w:tcW w:w="782" w:type="pct"/>
            <w:vAlign w:val="center"/>
          </w:tcPr>
          <w:p w14:paraId="7003F018" w14:textId="77777777" w:rsidR="00220165" w:rsidRPr="006F5AD7" w:rsidRDefault="00220165" w:rsidP="000223B3">
            <w:pPr>
              <w:pStyle w:val="SGBDS-Normal"/>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1</w:t>
            </w:r>
          </w:p>
        </w:tc>
        <w:tc>
          <w:tcPr>
            <w:tcW w:w="861" w:type="pct"/>
            <w:vAlign w:val="center"/>
          </w:tcPr>
          <w:p w14:paraId="621ECD57" w14:textId="77777777" w:rsidR="00220165" w:rsidRPr="006F5AD7" w:rsidRDefault="00220165" w:rsidP="000223B3">
            <w:pPr>
              <w:pStyle w:val="SGBDS-Normal"/>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6F5AD7">
              <w:rPr>
                <w:rFonts w:asciiTheme="majorHAnsi" w:hAnsiTheme="majorHAnsi" w:cstheme="majorHAnsi"/>
                <w:sz w:val="18"/>
                <w:szCs w:val="18"/>
              </w:rPr>
              <w:t>41,0</w:t>
            </w:r>
          </w:p>
        </w:tc>
        <w:tc>
          <w:tcPr>
            <w:tcW w:w="857" w:type="pct"/>
            <w:vAlign w:val="center"/>
          </w:tcPr>
          <w:p w14:paraId="52B86FED" w14:textId="77777777" w:rsidR="00220165" w:rsidRPr="006F5AD7" w:rsidRDefault="00220165" w:rsidP="000223B3">
            <w:pPr>
              <w:pStyle w:val="SGBDS-Normal"/>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42</w:t>
            </w:r>
          </w:p>
        </w:tc>
      </w:tr>
      <w:tr w:rsidR="00220165" w:rsidRPr="006F5AD7" w14:paraId="31F87B8E" w14:textId="77777777" w:rsidTr="00220165">
        <w:trPr>
          <w:trHeight w:val="294"/>
          <w:jc w:val="center"/>
        </w:trPr>
        <w:tc>
          <w:tcPr>
            <w:cnfStyle w:val="001000000000" w:firstRow="0" w:lastRow="0" w:firstColumn="1" w:lastColumn="0" w:oddVBand="0" w:evenVBand="0" w:oddHBand="0" w:evenHBand="0" w:firstRowFirstColumn="0" w:firstRowLastColumn="0" w:lastRowFirstColumn="0" w:lastRowLastColumn="0"/>
            <w:tcW w:w="679" w:type="pct"/>
            <w:vMerge/>
            <w:tcBorders>
              <w:left w:val="none" w:sz="0" w:space="0" w:color="auto"/>
            </w:tcBorders>
            <w:shd w:val="clear" w:color="auto" w:fill="EA9600" w:themeFill="accent3" w:themeFillShade="80"/>
            <w:vAlign w:val="center"/>
          </w:tcPr>
          <w:p w14:paraId="1766D7F5" w14:textId="77777777" w:rsidR="00220165" w:rsidRPr="006F5AD7" w:rsidRDefault="00220165" w:rsidP="000223B3">
            <w:pPr>
              <w:pStyle w:val="SGBDS-Normal"/>
              <w:spacing w:before="60" w:after="60"/>
              <w:jc w:val="center"/>
              <w:rPr>
                <w:rFonts w:asciiTheme="majorHAnsi" w:hAnsiTheme="majorHAnsi" w:cstheme="majorHAnsi"/>
                <w:color w:val="FFFFFF"/>
                <w:sz w:val="18"/>
                <w:szCs w:val="18"/>
              </w:rPr>
            </w:pPr>
          </w:p>
        </w:tc>
        <w:tc>
          <w:tcPr>
            <w:tcW w:w="1040" w:type="pct"/>
            <w:shd w:val="clear" w:color="auto" w:fill="EA9600" w:themeFill="accent3" w:themeFillShade="80"/>
            <w:noWrap/>
            <w:vAlign w:val="center"/>
          </w:tcPr>
          <w:p w14:paraId="5F778E8B" w14:textId="77777777" w:rsidR="00220165" w:rsidRPr="006F5AD7" w:rsidRDefault="00220165" w:rsidP="000223B3">
            <w:pPr>
              <w:pStyle w:val="SGBDS-Normal"/>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FFFF"/>
                <w:sz w:val="18"/>
                <w:szCs w:val="18"/>
              </w:rPr>
            </w:pPr>
            <w:r w:rsidRPr="006F5AD7">
              <w:rPr>
                <w:rFonts w:asciiTheme="majorHAnsi" w:hAnsiTheme="majorHAnsi" w:cstheme="majorHAnsi"/>
                <w:color w:val="FFFFFF"/>
                <w:sz w:val="18"/>
                <w:szCs w:val="18"/>
              </w:rPr>
              <w:t>Bois énergie (chaufferie)</w:t>
            </w:r>
          </w:p>
        </w:tc>
        <w:tc>
          <w:tcPr>
            <w:tcW w:w="781" w:type="pct"/>
            <w:noWrap/>
            <w:vAlign w:val="center"/>
          </w:tcPr>
          <w:p w14:paraId="08A461B6" w14:textId="77777777" w:rsidR="00220165" w:rsidRPr="006F5AD7" w:rsidRDefault="00220165" w:rsidP="000223B3">
            <w:pPr>
              <w:pStyle w:val="SGBDS-Normal"/>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6F5AD7">
              <w:rPr>
                <w:rFonts w:asciiTheme="majorHAnsi" w:hAnsiTheme="majorHAnsi" w:cstheme="majorHAnsi"/>
                <w:sz w:val="18"/>
                <w:szCs w:val="18"/>
              </w:rPr>
              <w:t>1,3</w:t>
            </w:r>
          </w:p>
        </w:tc>
        <w:tc>
          <w:tcPr>
            <w:tcW w:w="782" w:type="pct"/>
            <w:vAlign w:val="center"/>
          </w:tcPr>
          <w:p w14:paraId="25453638" w14:textId="77777777" w:rsidR="00220165" w:rsidRPr="006F5AD7" w:rsidRDefault="00220165" w:rsidP="000223B3">
            <w:pPr>
              <w:pStyle w:val="SGBDS-Normal"/>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6F5AD7">
              <w:rPr>
                <w:rFonts w:asciiTheme="majorHAnsi" w:hAnsiTheme="majorHAnsi" w:cstheme="majorHAnsi"/>
                <w:sz w:val="18"/>
                <w:szCs w:val="18"/>
              </w:rPr>
              <w:t>1,</w:t>
            </w:r>
            <w:r>
              <w:rPr>
                <w:rFonts w:asciiTheme="majorHAnsi" w:hAnsiTheme="majorHAnsi" w:cstheme="majorHAnsi"/>
                <w:sz w:val="18"/>
                <w:szCs w:val="18"/>
              </w:rPr>
              <w:t>2</w:t>
            </w:r>
          </w:p>
        </w:tc>
        <w:tc>
          <w:tcPr>
            <w:tcW w:w="861" w:type="pct"/>
            <w:vMerge w:val="restart"/>
            <w:vAlign w:val="center"/>
          </w:tcPr>
          <w:p w14:paraId="6B3DD789" w14:textId="77777777" w:rsidR="00220165" w:rsidRPr="006F5AD7" w:rsidRDefault="00220165" w:rsidP="000223B3">
            <w:pPr>
              <w:pStyle w:val="SGBDS-Normal"/>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6F5AD7">
              <w:rPr>
                <w:rFonts w:asciiTheme="majorHAnsi" w:hAnsiTheme="majorHAnsi" w:cstheme="majorHAnsi"/>
                <w:sz w:val="18"/>
                <w:szCs w:val="18"/>
              </w:rPr>
              <w:t>140,0</w:t>
            </w:r>
          </w:p>
        </w:tc>
        <w:tc>
          <w:tcPr>
            <w:tcW w:w="857" w:type="pct"/>
            <w:vMerge w:val="restart"/>
            <w:vAlign w:val="center"/>
          </w:tcPr>
          <w:p w14:paraId="3E8290C4" w14:textId="77777777" w:rsidR="00220165" w:rsidRPr="006F5AD7" w:rsidRDefault="00220165" w:rsidP="000223B3">
            <w:pPr>
              <w:pStyle w:val="SGBDS-Normal"/>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251,6</w:t>
            </w:r>
          </w:p>
        </w:tc>
      </w:tr>
      <w:tr w:rsidR="00220165" w:rsidRPr="006F5AD7" w14:paraId="271DF9E5" w14:textId="77777777" w:rsidTr="00220165">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679" w:type="pct"/>
            <w:vMerge/>
            <w:tcBorders>
              <w:left w:val="none" w:sz="0" w:space="0" w:color="auto"/>
            </w:tcBorders>
            <w:shd w:val="clear" w:color="auto" w:fill="EA9600" w:themeFill="accent3" w:themeFillShade="80"/>
            <w:vAlign w:val="center"/>
          </w:tcPr>
          <w:p w14:paraId="24A8D3F3" w14:textId="77777777" w:rsidR="00220165" w:rsidRPr="006F5AD7" w:rsidRDefault="00220165" w:rsidP="000223B3">
            <w:pPr>
              <w:pStyle w:val="SGBDS-Normal"/>
              <w:spacing w:before="60" w:after="60"/>
              <w:jc w:val="center"/>
              <w:rPr>
                <w:rFonts w:asciiTheme="majorHAnsi" w:hAnsiTheme="majorHAnsi" w:cstheme="majorHAnsi"/>
                <w:color w:val="FFFFFF"/>
                <w:sz w:val="18"/>
                <w:szCs w:val="18"/>
              </w:rPr>
            </w:pPr>
          </w:p>
        </w:tc>
        <w:tc>
          <w:tcPr>
            <w:tcW w:w="1040" w:type="pct"/>
            <w:shd w:val="clear" w:color="auto" w:fill="EA9600" w:themeFill="accent3" w:themeFillShade="80"/>
            <w:noWrap/>
            <w:vAlign w:val="center"/>
          </w:tcPr>
          <w:p w14:paraId="7BD7D130" w14:textId="77777777" w:rsidR="00220165" w:rsidRPr="006F5AD7" w:rsidRDefault="00220165" w:rsidP="000223B3">
            <w:pPr>
              <w:pStyle w:val="SGBDS-Normal"/>
              <w:spacing w:before="60" w:after="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FFFF"/>
                <w:sz w:val="18"/>
                <w:szCs w:val="18"/>
              </w:rPr>
            </w:pPr>
            <w:r w:rsidRPr="006F5AD7">
              <w:rPr>
                <w:rFonts w:asciiTheme="majorHAnsi" w:hAnsiTheme="majorHAnsi" w:cstheme="majorHAnsi"/>
                <w:color w:val="FFFFFF"/>
                <w:sz w:val="18"/>
                <w:szCs w:val="18"/>
              </w:rPr>
              <w:t>Bois énergie (domestique)</w:t>
            </w:r>
          </w:p>
        </w:tc>
        <w:tc>
          <w:tcPr>
            <w:tcW w:w="781" w:type="pct"/>
            <w:noWrap/>
            <w:vAlign w:val="center"/>
          </w:tcPr>
          <w:p w14:paraId="21811C52" w14:textId="77777777" w:rsidR="00220165" w:rsidRPr="006F5AD7" w:rsidRDefault="00220165" w:rsidP="000223B3">
            <w:pPr>
              <w:pStyle w:val="SGBDS-Normal"/>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6F5AD7">
              <w:rPr>
                <w:rFonts w:asciiTheme="majorHAnsi" w:hAnsiTheme="majorHAnsi" w:cstheme="majorHAnsi"/>
                <w:sz w:val="18"/>
                <w:szCs w:val="18"/>
              </w:rPr>
              <w:t>92,2</w:t>
            </w:r>
          </w:p>
        </w:tc>
        <w:tc>
          <w:tcPr>
            <w:tcW w:w="782" w:type="pct"/>
            <w:vAlign w:val="center"/>
          </w:tcPr>
          <w:p w14:paraId="71282F42" w14:textId="77777777" w:rsidR="00220165" w:rsidRPr="006F5AD7" w:rsidRDefault="00220165" w:rsidP="000223B3">
            <w:pPr>
              <w:pStyle w:val="SGBDS-Normal"/>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110,4</w:t>
            </w:r>
          </w:p>
        </w:tc>
        <w:tc>
          <w:tcPr>
            <w:tcW w:w="861" w:type="pct"/>
            <w:vMerge/>
            <w:vAlign w:val="center"/>
          </w:tcPr>
          <w:p w14:paraId="2DA9DD08" w14:textId="77777777" w:rsidR="00220165" w:rsidRPr="006F5AD7" w:rsidRDefault="00220165" w:rsidP="000223B3">
            <w:pPr>
              <w:pStyle w:val="SGBDS-Normal"/>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857" w:type="pct"/>
            <w:vMerge/>
            <w:vAlign w:val="center"/>
          </w:tcPr>
          <w:p w14:paraId="68913EAA" w14:textId="77777777" w:rsidR="00220165" w:rsidRPr="006F5AD7" w:rsidRDefault="00220165" w:rsidP="000223B3">
            <w:pPr>
              <w:pStyle w:val="SGBDS-Normal"/>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r>
      <w:tr w:rsidR="00220165" w:rsidRPr="006F5AD7" w14:paraId="4EFA3398" w14:textId="77777777" w:rsidTr="00220165">
        <w:trPr>
          <w:trHeight w:val="294"/>
          <w:jc w:val="center"/>
        </w:trPr>
        <w:tc>
          <w:tcPr>
            <w:cnfStyle w:val="001000000000" w:firstRow="0" w:lastRow="0" w:firstColumn="1" w:lastColumn="0" w:oddVBand="0" w:evenVBand="0" w:oddHBand="0" w:evenHBand="0" w:firstRowFirstColumn="0" w:firstRowLastColumn="0" w:lastRowFirstColumn="0" w:lastRowLastColumn="0"/>
            <w:tcW w:w="679" w:type="pct"/>
            <w:vMerge/>
            <w:tcBorders>
              <w:left w:val="none" w:sz="0" w:space="0" w:color="auto"/>
            </w:tcBorders>
            <w:shd w:val="clear" w:color="auto" w:fill="EA9600" w:themeFill="accent3" w:themeFillShade="80"/>
            <w:vAlign w:val="center"/>
          </w:tcPr>
          <w:p w14:paraId="44087C84" w14:textId="77777777" w:rsidR="00220165" w:rsidRPr="006F5AD7" w:rsidRDefault="00220165" w:rsidP="000223B3">
            <w:pPr>
              <w:pStyle w:val="SGBDS-Normal"/>
              <w:spacing w:before="60" w:after="60"/>
              <w:jc w:val="center"/>
              <w:rPr>
                <w:rFonts w:asciiTheme="majorHAnsi" w:hAnsiTheme="majorHAnsi" w:cstheme="majorHAnsi"/>
                <w:color w:val="FFFFFF"/>
                <w:sz w:val="18"/>
                <w:szCs w:val="18"/>
              </w:rPr>
            </w:pPr>
          </w:p>
        </w:tc>
        <w:tc>
          <w:tcPr>
            <w:tcW w:w="1040" w:type="pct"/>
            <w:shd w:val="clear" w:color="auto" w:fill="EA9600" w:themeFill="accent3" w:themeFillShade="80"/>
            <w:noWrap/>
            <w:vAlign w:val="center"/>
          </w:tcPr>
          <w:p w14:paraId="149DA1E2" w14:textId="77777777" w:rsidR="00220165" w:rsidRPr="006F5AD7" w:rsidRDefault="00220165" w:rsidP="000223B3">
            <w:pPr>
              <w:pStyle w:val="SGBDS-Normal"/>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FFFF"/>
                <w:sz w:val="18"/>
                <w:szCs w:val="18"/>
              </w:rPr>
            </w:pPr>
            <w:r w:rsidRPr="00347EB3">
              <w:rPr>
                <w:rFonts w:asciiTheme="majorHAnsi" w:hAnsiTheme="majorHAnsi" w:cstheme="majorHAnsi"/>
                <w:color w:val="FFFFFF"/>
                <w:sz w:val="18"/>
                <w:szCs w:val="18"/>
              </w:rPr>
              <w:t>Pompe à chaleur - Géothermie</w:t>
            </w:r>
          </w:p>
        </w:tc>
        <w:tc>
          <w:tcPr>
            <w:tcW w:w="781" w:type="pct"/>
            <w:noWrap/>
            <w:vAlign w:val="center"/>
          </w:tcPr>
          <w:p w14:paraId="7E580AFA" w14:textId="77777777" w:rsidR="00220165" w:rsidRPr="006F5AD7" w:rsidRDefault="00220165" w:rsidP="000223B3">
            <w:pPr>
              <w:pStyle w:val="SGBDS-Normal"/>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6F5AD7">
              <w:rPr>
                <w:rFonts w:asciiTheme="majorHAnsi" w:hAnsiTheme="majorHAnsi" w:cstheme="majorHAnsi"/>
                <w:sz w:val="18"/>
                <w:szCs w:val="18"/>
              </w:rPr>
              <w:t>-</w:t>
            </w:r>
          </w:p>
        </w:tc>
        <w:tc>
          <w:tcPr>
            <w:tcW w:w="782" w:type="pct"/>
            <w:vAlign w:val="center"/>
          </w:tcPr>
          <w:p w14:paraId="12AA1BA6" w14:textId="77777777" w:rsidR="00220165" w:rsidRPr="006F5AD7" w:rsidRDefault="00220165" w:rsidP="000223B3">
            <w:pPr>
              <w:pStyle w:val="SGBDS-Normal"/>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54,8</w:t>
            </w:r>
          </w:p>
        </w:tc>
        <w:tc>
          <w:tcPr>
            <w:tcW w:w="861" w:type="pct"/>
            <w:vAlign w:val="center"/>
          </w:tcPr>
          <w:p w14:paraId="22F3687A" w14:textId="77777777" w:rsidR="00220165" w:rsidRPr="006F5AD7" w:rsidRDefault="00220165" w:rsidP="000223B3">
            <w:pPr>
              <w:pStyle w:val="SGBDS-Normal"/>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6F5AD7">
              <w:rPr>
                <w:rFonts w:asciiTheme="majorHAnsi" w:hAnsiTheme="majorHAnsi" w:cstheme="majorHAnsi"/>
                <w:sz w:val="18"/>
                <w:szCs w:val="18"/>
              </w:rPr>
              <w:t>163,0</w:t>
            </w:r>
          </w:p>
        </w:tc>
        <w:tc>
          <w:tcPr>
            <w:tcW w:w="857" w:type="pct"/>
            <w:vAlign w:val="center"/>
          </w:tcPr>
          <w:p w14:paraId="6EFBDA7F" w14:textId="77777777" w:rsidR="00220165" w:rsidRPr="006F5AD7" w:rsidRDefault="00220165" w:rsidP="000223B3">
            <w:pPr>
              <w:pStyle w:val="SGBDS-Normal"/>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217,8</w:t>
            </w:r>
          </w:p>
        </w:tc>
      </w:tr>
      <w:tr w:rsidR="00220165" w:rsidRPr="006F5AD7" w14:paraId="3E89C49E" w14:textId="77777777" w:rsidTr="00220165">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679" w:type="pct"/>
            <w:vMerge/>
            <w:tcBorders>
              <w:left w:val="none" w:sz="0" w:space="0" w:color="auto"/>
            </w:tcBorders>
            <w:shd w:val="clear" w:color="auto" w:fill="EA9600" w:themeFill="accent3" w:themeFillShade="80"/>
            <w:vAlign w:val="center"/>
          </w:tcPr>
          <w:p w14:paraId="6F9A38FD" w14:textId="77777777" w:rsidR="00220165" w:rsidRPr="006F5AD7" w:rsidRDefault="00220165" w:rsidP="000223B3">
            <w:pPr>
              <w:pStyle w:val="SGBDS-Normal"/>
              <w:spacing w:before="60" w:after="60"/>
              <w:jc w:val="center"/>
              <w:rPr>
                <w:rFonts w:asciiTheme="majorHAnsi" w:hAnsiTheme="majorHAnsi" w:cstheme="majorHAnsi"/>
                <w:color w:val="FFFFFF"/>
                <w:sz w:val="18"/>
                <w:szCs w:val="18"/>
              </w:rPr>
            </w:pPr>
          </w:p>
        </w:tc>
        <w:tc>
          <w:tcPr>
            <w:tcW w:w="1040" w:type="pct"/>
            <w:shd w:val="clear" w:color="auto" w:fill="EA9600" w:themeFill="accent3" w:themeFillShade="80"/>
            <w:noWrap/>
            <w:vAlign w:val="center"/>
          </w:tcPr>
          <w:p w14:paraId="0A893BE6" w14:textId="77777777" w:rsidR="00220165" w:rsidRPr="006F5AD7" w:rsidRDefault="00220165" w:rsidP="000223B3">
            <w:pPr>
              <w:pStyle w:val="SGBDS-Normal"/>
              <w:spacing w:before="60" w:after="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FFFF"/>
                <w:sz w:val="18"/>
                <w:szCs w:val="18"/>
              </w:rPr>
            </w:pPr>
            <w:r w:rsidRPr="006F5AD7">
              <w:rPr>
                <w:rFonts w:asciiTheme="majorHAnsi" w:hAnsiTheme="majorHAnsi" w:cstheme="majorHAnsi"/>
                <w:color w:val="FFFFFF"/>
                <w:sz w:val="18"/>
                <w:szCs w:val="18"/>
              </w:rPr>
              <w:t>Chaleur de récupération</w:t>
            </w:r>
          </w:p>
        </w:tc>
        <w:tc>
          <w:tcPr>
            <w:tcW w:w="781" w:type="pct"/>
            <w:noWrap/>
            <w:vAlign w:val="center"/>
          </w:tcPr>
          <w:p w14:paraId="4DCB8EF1" w14:textId="77777777" w:rsidR="00220165" w:rsidRPr="006F5AD7" w:rsidRDefault="00220165" w:rsidP="000223B3">
            <w:pPr>
              <w:pStyle w:val="SGBDS-Normal"/>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6F5AD7">
              <w:rPr>
                <w:rFonts w:asciiTheme="majorHAnsi" w:hAnsiTheme="majorHAnsi" w:cstheme="majorHAnsi"/>
                <w:sz w:val="18"/>
                <w:szCs w:val="18"/>
              </w:rPr>
              <w:t>-</w:t>
            </w:r>
          </w:p>
        </w:tc>
        <w:tc>
          <w:tcPr>
            <w:tcW w:w="782" w:type="pct"/>
            <w:vAlign w:val="center"/>
          </w:tcPr>
          <w:p w14:paraId="153789B9" w14:textId="77777777" w:rsidR="00220165" w:rsidRPr="006F5AD7" w:rsidRDefault="00220165" w:rsidP="000223B3">
            <w:pPr>
              <w:pStyle w:val="SGBDS-Normal"/>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6F5AD7">
              <w:rPr>
                <w:rFonts w:asciiTheme="majorHAnsi" w:hAnsiTheme="majorHAnsi" w:cstheme="majorHAnsi"/>
                <w:sz w:val="18"/>
                <w:szCs w:val="18"/>
              </w:rPr>
              <w:t>-</w:t>
            </w:r>
          </w:p>
        </w:tc>
        <w:tc>
          <w:tcPr>
            <w:tcW w:w="861" w:type="pct"/>
            <w:vAlign w:val="center"/>
          </w:tcPr>
          <w:p w14:paraId="0EAB2D57" w14:textId="77777777" w:rsidR="00220165" w:rsidRPr="006F5AD7" w:rsidRDefault="00220165" w:rsidP="000223B3">
            <w:pPr>
              <w:pStyle w:val="SGBDS-Normal"/>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6F5AD7">
              <w:rPr>
                <w:rFonts w:asciiTheme="majorHAnsi" w:hAnsiTheme="majorHAnsi" w:cstheme="majorHAnsi"/>
                <w:sz w:val="18"/>
                <w:szCs w:val="18"/>
              </w:rPr>
              <w:t>50,0</w:t>
            </w:r>
          </w:p>
        </w:tc>
        <w:tc>
          <w:tcPr>
            <w:tcW w:w="857" w:type="pct"/>
            <w:vAlign w:val="center"/>
          </w:tcPr>
          <w:p w14:paraId="57F71FBF" w14:textId="77777777" w:rsidR="00220165" w:rsidRPr="006F5AD7" w:rsidRDefault="00220165" w:rsidP="000223B3">
            <w:pPr>
              <w:pStyle w:val="SGBDS-Normal"/>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6F5AD7">
              <w:rPr>
                <w:rFonts w:asciiTheme="majorHAnsi" w:hAnsiTheme="majorHAnsi" w:cstheme="majorHAnsi"/>
                <w:sz w:val="18"/>
                <w:szCs w:val="18"/>
              </w:rPr>
              <w:t>50,0</w:t>
            </w:r>
          </w:p>
        </w:tc>
      </w:tr>
      <w:tr w:rsidR="00220165" w:rsidRPr="006F5AD7" w14:paraId="28749572" w14:textId="77777777" w:rsidTr="00220165">
        <w:trPr>
          <w:trHeight w:val="294"/>
          <w:jc w:val="center"/>
        </w:trPr>
        <w:tc>
          <w:tcPr>
            <w:cnfStyle w:val="001000000000" w:firstRow="0" w:lastRow="0" w:firstColumn="1" w:lastColumn="0" w:oddVBand="0" w:evenVBand="0" w:oddHBand="0" w:evenHBand="0" w:firstRowFirstColumn="0" w:firstRowLastColumn="0" w:lastRowFirstColumn="0" w:lastRowLastColumn="0"/>
            <w:tcW w:w="679" w:type="pct"/>
            <w:vMerge w:val="restart"/>
            <w:tcBorders>
              <w:left w:val="none" w:sz="0" w:space="0" w:color="auto"/>
            </w:tcBorders>
            <w:shd w:val="clear" w:color="auto" w:fill="EA9600" w:themeFill="accent3" w:themeFillShade="80"/>
            <w:vAlign w:val="center"/>
          </w:tcPr>
          <w:p w14:paraId="4648C042" w14:textId="77777777" w:rsidR="00220165" w:rsidRPr="006F5AD7" w:rsidRDefault="00220165" w:rsidP="000223B3">
            <w:pPr>
              <w:pStyle w:val="SGBDS-Normal"/>
              <w:spacing w:before="60" w:after="60"/>
              <w:jc w:val="center"/>
              <w:rPr>
                <w:rFonts w:asciiTheme="majorHAnsi" w:hAnsiTheme="majorHAnsi" w:cstheme="majorHAnsi"/>
                <w:color w:val="FFFFFF"/>
                <w:sz w:val="18"/>
                <w:szCs w:val="18"/>
              </w:rPr>
            </w:pPr>
            <w:r w:rsidRPr="006F5AD7">
              <w:rPr>
                <w:rFonts w:asciiTheme="majorHAnsi" w:hAnsiTheme="majorHAnsi" w:cstheme="majorHAnsi"/>
                <w:color w:val="FFFFFF"/>
                <w:sz w:val="18"/>
                <w:szCs w:val="18"/>
              </w:rPr>
              <w:t>Electricité</w:t>
            </w:r>
          </w:p>
        </w:tc>
        <w:tc>
          <w:tcPr>
            <w:tcW w:w="1040" w:type="pct"/>
            <w:shd w:val="clear" w:color="auto" w:fill="EA9600" w:themeFill="accent3" w:themeFillShade="80"/>
            <w:noWrap/>
            <w:vAlign w:val="center"/>
          </w:tcPr>
          <w:p w14:paraId="70047C2A" w14:textId="77777777" w:rsidR="00220165" w:rsidRPr="006F5AD7" w:rsidRDefault="00220165" w:rsidP="000223B3">
            <w:pPr>
              <w:pStyle w:val="SGBDS-Normal"/>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FFFF"/>
                <w:sz w:val="18"/>
                <w:szCs w:val="18"/>
              </w:rPr>
            </w:pPr>
            <w:r w:rsidRPr="006F5AD7">
              <w:rPr>
                <w:rFonts w:asciiTheme="majorHAnsi" w:hAnsiTheme="majorHAnsi" w:cstheme="majorHAnsi"/>
                <w:color w:val="FFFFFF"/>
                <w:sz w:val="18"/>
                <w:szCs w:val="18"/>
              </w:rPr>
              <w:t>Solaire photovoltaïque</w:t>
            </w:r>
          </w:p>
        </w:tc>
        <w:tc>
          <w:tcPr>
            <w:tcW w:w="781" w:type="pct"/>
            <w:noWrap/>
            <w:vAlign w:val="center"/>
          </w:tcPr>
          <w:p w14:paraId="771C4F71" w14:textId="77777777" w:rsidR="00220165" w:rsidRPr="006F5AD7" w:rsidRDefault="00220165" w:rsidP="000223B3">
            <w:pPr>
              <w:pStyle w:val="SGBDS-Normal"/>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6F5AD7">
              <w:rPr>
                <w:rFonts w:asciiTheme="majorHAnsi" w:hAnsiTheme="majorHAnsi" w:cstheme="majorHAnsi"/>
                <w:sz w:val="18"/>
                <w:szCs w:val="18"/>
              </w:rPr>
              <w:t>4,9</w:t>
            </w:r>
          </w:p>
        </w:tc>
        <w:tc>
          <w:tcPr>
            <w:tcW w:w="782" w:type="pct"/>
            <w:vAlign w:val="center"/>
          </w:tcPr>
          <w:p w14:paraId="14208961" w14:textId="77777777" w:rsidR="00220165" w:rsidRPr="006F5AD7" w:rsidRDefault="00220165" w:rsidP="000223B3">
            <w:pPr>
              <w:pStyle w:val="SGBDS-Normal"/>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6,3</w:t>
            </w:r>
          </w:p>
        </w:tc>
        <w:tc>
          <w:tcPr>
            <w:tcW w:w="861" w:type="pct"/>
            <w:vAlign w:val="center"/>
          </w:tcPr>
          <w:p w14:paraId="3F43144C" w14:textId="77777777" w:rsidR="00220165" w:rsidRPr="006F5AD7" w:rsidRDefault="00220165" w:rsidP="000223B3">
            <w:pPr>
              <w:pStyle w:val="SGBDS-Normal"/>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746,4</w:t>
            </w:r>
          </w:p>
        </w:tc>
        <w:tc>
          <w:tcPr>
            <w:tcW w:w="857" w:type="pct"/>
            <w:vAlign w:val="center"/>
          </w:tcPr>
          <w:p w14:paraId="0B6E7B15" w14:textId="77777777" w:rsidR="00220165" w:rsidRPr="006F5AD7" w:rsidRDefault="00220165" w:rsidP="000223B3">
            <w:pPr>
              <w:pStyle w:val="SGBDS-Normal"/>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756,3</w:t>
            </w:r>
          </w:p>
        </w:tc>
      </w:tr>
      <w:tr w:rsidR="00220165" w:rsidRPr="006F5AD7" w14:paraId="32E5E8EF" w14:textId="77777777" w:rsidTr="00220165">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679" w:type="pct"/>
            <w:vMerge/>
            <w:tcBorders>
              <w:left w:val="none" w:sz="0" w:space="0" w:color="auto"/>
            </w:tcBorders>
            <w:shd w:val="clear" w:color="auto" w:fill="EA9600" w:themeFill="accent3" w:themeFillShade="80"/>
            <w:vAlign w:val="center"/>
          </w:tcPr>
          <w:p w14:paraId="1B95EE77" w14:textId="77777777" w:rsidR="00220165" w:rsidRPr="006F5AD7" w:rsidRDefault="00220165" w:rsidP="000223B3">
            <w:pPr>
              <w:pStyle w:val="SGBDS-Normal"/>
              <w:spacing w:before="60" w:after="60"/>
              <w:jc w:val="center"/>
              <w:rPr>
                <w:rFonts w:asciiTheme="majorHAnsi" w:hAnsiTheme="majorHAnsi" w:cstheme="majorHAnsi"/>
                <w:color w:val="FFFFFF"/>
                <w:sz w:val="18"/>
                <w:szCs w:val="18"/>
              </w:rPr>
            </w:pPr>
          </w:p>
        </w:tc>
        <w:tc>
          <w:tcPr>
            <w:tcW w:w="1040" w:type="pct"/>
            <w:shd w:val="clear" w:color="auto" w:fill="EA9600" w:themeFill="accent3" w:themeFillShade="80"/>
            <w:noWrap/>
            <w:vAlign w:val="center"/>
          </w:tcPr>
          <w:p w14:paraId="61E9F99C" w14:textId="77777777" w:rsidR="00220165" w:rsidRPr="006F5AD7" w:rsidRDefault="00220165" w:rsidP="000223B3">
            <w:pPr>
              <w:pStyle w:val="SGBDS-Normal"/>
              <w:spacing w:before="60" w:after="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FFFF"/>
                <w:sz w:val="18"/>
                <w:szCs w:val="18"/>
              </w:rPr>
            </w:pPr>
            <w:r w:rsidRPr="006F5AD7">
              <w:rPr>
                <w:rFonts w:asciiTheme="majorHAnsi" w:hAnsiTheme="majorHAnsi" w:cstheme="majorHAnsi"/>
                <w:color w:val="FFFFFF"/>
                <w:sz w:val="18"/>
                <w:szCs w:val="18"/>
              </w:rPr>
              <w:t>Valorisation des déchets</w:t>
            </w:r>
          </w:p>
        </w:tc>
        <w:tc>
          <w:tcPr>
            <w:tcW w:w="781" w:type="pct"/>
            <w:noWrap/>
            <w:vAlign w:val="center"/>
          </w:tcPr>
          <w:p w14:paraId="6819C038" w14:textId="77777777" w:rsidR="00220165" w:rsidRPr="006F5AD7" w:rsidRDefault="00220165" w:rsidP="000223B3">
            <w:pPr>
              <w:pStyle w:val="SGBDS-Normal"/>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6F5AD7">
              <w:rPr>
                <w:rFonts w:asciiTheme="majorHAnsi" w:hAnsiTheme="majorHAnsi" w:cstheme="majorHAnsi"/>
                <w:sz w:val="18"/>
                <w:szCs w:val="18"/>
              </w:rPr>
              <w:t>18,5</w:t>
            </w:r>
          </w:p>
        </w:tc>
        <w:tc>
          <w:tcPr>
            <w:tcW w:w="782" w:type="pct"/>
            <w:vAlign w:val="center"/>
          </w:tcPr>
          <w:p w14:paraId="3EF0096C" w14:textId="77777777" w:rsidR="00220165" w:rsidRPr="006F5AD7" w:rsidRDefault="00220165" w:rsidP="000223B3">
            <w:pPr>
              <w:pStyle w:val="SGBDS-Normal"/>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12,8</w:t>
            </w:r>
          </w:p>
        </w:tc>
        <w:tc>
          <w:tcPr>
            <w:tcW w:w="861" w:type="pct"/>
            <w:vAlign w:val="center"/>
          </w:tcPr>
          <w:p w14:paraId="19A64F5A" w14:textId="77777777" w:rsidR="00220165" w:rsidRPr="006F5AD7" w:rsidRDefault="00220165" w:rsidP="000223B3">
            <w:pPr>
              <w:pStyle w:val="SGBDS-Normal"/>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6F5AD7">
              <w:rPr>
                <w:rFonts w:asciiTheme="majorHAnsi" w:hAnsiTheme="majorHAnsi" w:cstheme="majorHAnsi"/>
                <w:sz w:val="18"/>
                <w:szCs w:val="18"/>
              </w:rPr>
              <w:t>-</w:t>
            </w:r>
          </w:p>
        </w:tc>
        <w:tc>
          <w:tcPr>
            <w:tcW w:w="857" w:type="pct"/>
            <w:vAlign w:val="center"/>
          </w:tcPr>
          <w:p w14:paraId="1C3EDE61" w14:textId="77777777" w:rsidR="00220165" w:rsidRPr="006F5AD7" w:rsidRDefault="00220165" w:rsidP="000223B3">
            <w:pPr>
              <w:pStyle w:val="SGBDS-Normal"/>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12,8</w:t>
            </w:r>
          </w:p>
        </w:tc>
      </w:tr>
      <w:tr w:rsidR="00220165" w:rsidRPr="006F5AD7" w14:paraId="69EA0A20" w14:textId="77777777" w:rsidTr="00220165">
        <w:trPr>
          <w:trHeight w:val="294"/>
          <w:jc w:val="center"/>
        </w:trPr>
        <w:tc>
          <w:tcPr>
            <w:cnfStyle w:val="001000000000" w:firstRow="0" w:lastRow="0" w:firstColumn="1" w:lastColumn="0" w:oddVBand="0" w:evenVBand="0" w:oddHBand="0" w:evenHBand="0" w:firstRowFirstColumn="0" w:firstRowLastColumn="0" w:lastRowFirstColumn="0" w:lastRowLastColumn="0"/>
            <w:tcW w:w="679" w:type="pct"/>
            <w:vMerge/>
            <w:tcBorders>
              <w:left w:val="none" w:sz="0" w:space="0" w:color="auto"/>
            </w:tcBorders>
            <w:shd w:val="clear" w:color="auto" w:fill="EA9600" w:themeFill="accent3" w:themeFillShade="80"/>
            <w:vAlign w:val="center"/>
          </w:tcPr>
          <w:p w14:paraId="3925ED6B" w14:textId="77777777" w:rsidR="00220165" w:rsidRPr="006F5AD7" w:rsidRDefault="00220165" w:rsidP="000223B3">
            <w:pPr>
              <w:pStyle w:val="SGBDS-Normal"/>
              <w:spacing w:before="60" w:after="60"/>
              <w:jc w:val="center"/>
              <w:rPr>
                <w:rFonts w:asciiTheme="majorHAnsi" w:hAnsiTheme="majorHAnsi" w:cstheme="majorHAnsi"/>
                <w:color w:val="FFFFFF"/>
                <w:sz w:val="18"/>
                <w:szCs w:val="18"/>
              </w:rPr>
            </w:pPr>
          </w:p>
        </w:tc>
        <w:tc>
          <w:tcPr>
            <w:tcW w:w="1040" w:type="pct"/>
            <w:shd w:val="clear" w:color="auto" w:fill="EA9600" w:themeFill="accent3" w:themeFillShade="80"/>
            <w:noWrap/>
            <w:vAlign w:val="center"/>
          </w:tcPr>
          <w:p w14:paraId="7F11FE7B" w14:textId="77777777" w:rsidR="00220165" w:rsidRPr="006F5AD7" w:rsidRDefault="00220165" w:rsidP="000223B3">
            <w:pPr>
              <w:pStyle w:val="SGBDS-Normal"/>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FFFF"/>
                <w:sz w:val="18"/>
                <w:szCs w:val="18"/>
              </w:rPr>
            </w:pPr>
            <w:r w:rsidRPr="006F5AD7">
              <w:rPr>
                <w:rFonts w:asciiTheme="majorHAnsi" w:hAnsiTheme="majorHAnsi" w:cstheme="majorHAnsi"/>
                <w:color w:val="FFFFFF"/>
                <w:sz w:val="18"/>
                <w:szCs w:val="18"/>
              </w:rPr>
              <w:t>Méthanisation</w:t>
            </w:r>
          </w:p>
        </w:tc>
        <w:tc>
          <w:tcPr>
            <w:tcW w:w="781" w:type="pct"/>
            <w:noWrap/>
            <w:vAlign w:val="center"/>
          </w:tcPr>
          <w:p w14:paraId="705CA200" w14:textId="77777777" w:rsidR="00220165" w:rsidRPr="006F5AD7" w:rsidRDefault="00220165" w:rsidP="000223B3">
            <w:pPr>
              <w:pStyle w:val="SGBDS-Normal"/>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6F5AD7">
              <w:rPr>
                <w:rFonts w:asciiTheme="majorHAnsi" w:hAnsiTheme="majorHAnsi" w:cstheme="majorHAnsi"/>
                <w:sz w:val="18"/>
                <w:szCs w:val="18"/>
              </w:rPr>
              <w:t>1,9</w:t>
            </w:r>
          </w:p>
        </w:tc>
        <w:tc>
          <w:tcPr>
            <w:tcW w:w="782" w:type="pct"/>
            <w:vAlign w:val="center"/>
          </w:tcPr>
          <w:p w14:paraId="2CBFDACE" w14:textId="77777777" w:rsidR="00220165" w:rsidRPr="006F5AD7" w:rsidRDefault="00220165" w:rsidP="000223B3">
            <w:pPr>
              <w:pStyle w:val="SGBDS-Normal"/>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1,4</w:t>
            </w:r>
          </w:p>
        </w:tc>
        <w:tc>
          <w:tcPr>
            <w:tcW w:w="861" w:type="pct"/>
            <w:vAlign w:val="center"/>
          </w:tcPr>
          <w:p w14:paraId="5739CD9A" w14:textId="77777777" w:rsidR="00220165" w:rsidRPr="006F5AD7" w:rsidRDefault="00220165" w:rsidP="000223B3">
            <w:pPr>
              <w:pStyle w:val="SGBDS-Normal"/>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6F5AD7">
              <w:rPr>
                <w:rFonts w:asciiTheme="majorHAnsi" w:hAnsiTheme="majorHAnsi" w:cstheme="majorHAnsi"/>
                <w:sz w:val="18"/>
                <w:szCs w:val="18"/>
              </w:rPr>
              <w:t>-</w:t>
            </w:r>
          </w:p>
        </w:tc>
        <w:tc>
          <w:tcPr>
            <w:tcW w:w="857" w:type="pct"/>
            <w:vAlign w:val="center"/>
          </w:tcPr>
          <w:p w14:paraId="5F9172B2" w14:textId="77777777" w:rsidR="00220165" w:rsidRPr="006F5AD7" w:rsidRDefault="00220165" w:rsidP="000223B3">
            <w:pPr>
              <w:pStyle w:val="SGBDS-Normal"/>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1,4</w:t>
            </w:r>
          </w:p>
        </w:tc>
      </w:tr>
      <w:tr w:rsidR="00220165" w:rsidRPr="006F5AD7" w14:paraId="72681AD5" w14:textId="77777777" w:rsidTr="00220165">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679" w:type="pct"/>
            <w:vMerge/>
            <w:tcBorders>
              <w:left w:val="none" w:sz="0" w:space="0" w:color="auto"/>
            </w:tcBorders>
            <w:shd w:val="clear" w:color="auto" w:fill="EA9600" w:themeFill="accent3" w:themeFillShade="80"/>
            <w:vAlign w:val="center"/>
          </w:tcPr>
          <w:p w14:paraId="52936A4E" w14:textId="77777777" w:rsidR="00220165" w:rsidRPr="006F5AD7" w:rsidRDefault="00220165" w:rsidP="000223B3">
            <w:pPr>
              <w:pStyle w:val="SGBDS-Normal"/>
              <w:spacing w:before="60" w:after="60"/>
              <w:jc w:val="center"/>
              <w:rPr>
                <w:rFonts w:asciiTheme="majorHAnsi" w:hAnsiTheme="majorHAnsi" w:cstheme="majorHAnsi"/>
                <w:color w:val="FFFFFF"/>
                <w:sz w:val="18"/>
                <w:szCs w:val="18"/>
              </w:rPr>
            </w:pPr>
          </w:p>
        </w:tc>
        <w:tc>
          <w:tcPr>
            <w:tcW w:w="1040" w:type="pct"/>
            <w:shd w:val="clear" w:color="auto" w:fill="EA9600" w:themeFill="accent3" w:themeFillShade="80"/>
            <w:noWrap/>
            <w:vAlign w:val="center"/>
          </w:tcPr>
          <w:p w14:paraId="7C6215C3" w14:textId="77777777" w:rsidR="00220165" w:rsidRPr="006F5AD7" w:rsidRDefault="00220165" w:rsidP="000223B3">
            <w:pPr>
              <w:pStyle w:val="SGBDS-Normal"/>
              <w:spacing w:before="60" w:after="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FFFF"/>
                <w:sz w:val="18"/>
                <w:szCs w:val="18"/>
              </w:rPr>
            </w:pPr>
            <w:r w:rsidRPr="006F5AD7">
              <w:rPr>
                <w:rFonts w:asciiTheme="majorHAnsi" w:hAnsiTheme="majorHAnsi" w:cstheme="majorHAnsi"/>
                <w:color w:val="FFFFFF"/>
                <w:sz w:val="18"/>
                <w:szCs w:val="18"/>
              </w:rPr>
              <w:t>Eolien</w:t>
            </w:r>
          </w:p>
        </w:tc>
        <w:tc>
          <w:tcPr>
            <w:tcW w:w="781" w:type="pct"/>
            <w:noWrap/>
            <w:vAlign w:val="center"/>
          </w:tcPr>
          <w:p w14:paraId="59E9DB77" w14:textId="77777777" w:rsidR="00220165" w:rsidRPr="006F5AD7" w:rsidRDefault="00220165" w:rsidP="000223B3">
            <w:pPr>
              <w:pStyle w:val="SGBDS-Normal"/>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6F5AD7">
              <w:rPr>
                <w:rFonts w:asciiTheme="majorHAnsi" w:hAnsiTheme="majorHAnsi" w:cstheme="majorHAnsi"/>
                <w:sz w:val="18"/>
                <w:szCs w:val="18"/>
              </w:rPr>
              <w:t>-</w:t>
            </w:r>
          </w:p>
        </w:tc>
        <w:tc>
          <w:tcPr>
            <w:tcW w:w="782" w:type="pct"/>
            <w:vAlign w:val="center"/>
          </w:tcPr>
          <w:p w14:paraId="7B95475B" w14:textId="77777777" w:rsidR="00220165" w:rsidRPr="006F5AD7" w:rsidRDefault="00220165" w:rsidP="000223B3">
            <w:pPr>
              <w:pStyle w:val="SGBDS-Normal"/>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&lt; 1</w:t>
            </w:r>
          </w:p>
        </w:tc>
        <w:tc>
          <w:tcPr>
            <w:tcW w:w="861" w:type="pct"/>
            <w:vAlign w:val="center"/>
          </w:tcPr>
          <w:p w14:paraId="28DF7A2D" w14:textId="77777777" w:rsidR="00220165" w:rsidRPr="006F5AD7" w:rsidRDefault="00220165" w:rsidP="000223B3">
            <w:pPr>
              <w:pStyle w:val="SGBDS-Normal"/>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6F5AD7">
              <w:rPr>
                <w:rFonts w:asciiTheme="majorHAnsi" w:hAnsiTheme="majorHAnsi" w:cstheme="majorHAnsi"/>
                <w:sz w:val="18"/>
                <w:szCs w:val="18"/>
              </w:rPr>
              <w:t>22,0</w:t>
            </w:r>
          </w:p>
        </w:tc>
        <w:tc>
          <w:tcPr>
            <w:tcW w:w="857" w:type="pct"/>
            <w:vAlign w:val="center"/>
          </w:tcPr>
          <w:p w14:paraId="205EDD9A" w14:textId="77777777" w:rsidR="00220165" w:rsidRPr="006F5AD7" w:rsidRDefault="00220165" w:rsidP="000223B3">
            <w:pPr>
              <w:pStyle w:val="SGBDS-Normal"/>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22</w:t>
            </w:r>
          </w:p>
        </w:tc>
      </w:tr>
      <w:tr w:rsidR="00220165" w:rsidRPr="006F5AD7" w14:paraId="6574017B" w14:textId="77777777" w:rsidTr="00220165">
        <w:trPr>
          <w:trHeight w:val="294"/>
          <w:jc w:val="center"/>
        </w:trPr>
        <w:tc>
          <w:tcPr>
            <w:cnfStyle w:val="001000000000" w:firstRow="0" w:lastRow="0" w:firstColumn="1" w:lastColumn="0" w:oddVBand="0" w:evenVBand="0" w:oddHBand="0" w:evenHBand="0" w:firstRowFirstColumn="0" w:firstRowLastColumn="0" w:lastRowFirstColumn="0" w:lastRowLastColumn="0"/>
            <w:tcW w:w="679" w:type="pct"/>
            <w:tcBorders>
              <w:left w:val="none" w:sz="0" w:space="0" w:color="auto"/>
            </w:tcBorders>
            <w:shd w:val="clear" w:color="auto" w:fill="EA9600" w:themeFill="accent3" w:themeFillShade="80"/>
            <w:vAlign w:val="center"/>
          </w:tcPr>
          <w:p w14:paraId="1EDA5EEF" w14:textId="77777777" w:rsidR="00220165" w:rsidRPr="006F5AD7" w:rsidRDefault="00220165" w:rsidP="000223B3">
            <w:pPr>
              <w:pStyle w:val="SGBDS-Normal"/>
              <w:spacing w:before="60" w:after="60"/>
              <w:jc w:val="center"/>
              <w:rPr>
                <w:rFonts w:asciiTheme="majorHAnsi" w:hAnsiTheme="majorHAnsi" w:cstheme="majorHAnsi"/>
                <w:color w:val="FFFFFF"/>
                <w:sz w:val="18"/>
                <w:szCs w:val="18"/>
              </w:rPr>
            </w:pPr>
            <w:r w:rsidRPr="006F5AD7">
              <w:rPr>
                <w:rFonts w:asciiTheme="majorHAnsi" w:hAnsiTheme="majorHAnsi" w:cstheme="majorHAnsi"/>
                <w:color w:val="FFFFFF"/>
                <w:sz w:val="18"/>
                <w:szCs w:val="18"/>
              </w:rPr>
              <w:t>Biométhane</w:t>
            </w:r>
          </w:p>
        </w:tc>
        <w:tc>
          <w:tcPr>
            <w:tcW w:w="1040" w:type="pct"/>
            <w:shd w:val="clear" w:color="auto" w:fill="EA9600" w:themeFill="accent3" w:themeFillShade="80"/>
            <w:noWrap/>
            <w:vAlign w:val="center"/>
          </w:tcPr>
          <w:p w14:paraId="3A78AC8C" w14:textId="77777777" w:rsidR="00220165" w:rsidRPr="006F5AD7" w:rsidRDefault="00220165" w:rsidP="000223B3">
            <w:pPr>
              <w:pStyle w:val="SGBDS-Normal"/>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FFFF"/>
                <w:sz w:val="18"/>
                <w:szCs w:val="18"/>
              </w:rPr>
            </w:pPr>
            <w:r w:rsidRPr="006F5AD7">
              <w:rPr>
                <w:rFonts w:asciiTheme="majorHAnsi" w:hAnsiTheme="majorHAnsi" w:cstheme="majorHAnsi"/>
                <w:color w:val="FFFFFF"/>
                <w:sz w:val="18"/>
                <w:szCs w:val="18"/>
              </w:rPr>
              <w:t>Méthanisation</w:t>
            </w:r>
          </w:p>
        </w:tc>
        <w:tc>
          <w:tcPr>
            <w:tcW w:w="781" w:type="pct"/>
            <w:noWrap/>
            <w:vAlign w:val="center"/>
          </w:tcPr>
          <w:p w14:paraId="428059C4" w14:textId="77777777" w:rsidR="00220165" w:rsidRPr="006F5AD7" w:rsidRDefault="00220165" w:rsidP="000223B3">
            <w:pPr>
              <w:pStyle w:val="SGBDS-Normal"/>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6F5AD7">
              <w:rPr>
                <w:rFonts w:asciiTheme="majorHAnsi" w:hAnsiTheme="majorHAnsi" w:cstheme="majorHAnsi"/>
                <w:sz w:val="18"/>
                <w:szCs w:val="18"/>
              </w:rPr>
              <w:t>23,9</w:t>
            </w:r>
          </w:p>
        </w:tc>
        <w:tc>
          <w:tcPr>
            <w:tcW w:w="782" w:type="pct"/>
            <w:vAlign w:val="center"/>
          </w:tcPr>
          <w:p w14:paraId="5100850D" w14:textId="77777777" w:rsidR="00220165" w:rsidRPr="006F5AD7" w:rsidRDefault="00220165" w:rsidP="000223B3">
            <w:pPr>
              <w:pStyle w:val="SGBDS-Normal"/>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6F5AD7">
              <w:rPr>
                <w:rFonts w:asciiTheme="majorHAnsi" w:hAnsiTheme="majorHAnsi" w:cstheme="majorHAnsi"/>
                <w:sz w:val="18"/>
                <w:szCs w:val="18"/>
              </w:rPr>
              <w:t>23,</w:t>
            </w:r>
            <w:r>
              <w:rPr>
                <w:rFonts w:asciiTheme="majorHAnsi" w:hAnsiTheme="majorHAnsi" w:cstheme="majorHAnsi"/>
                <w:sz w:val="18"/>
                <w:szCs w:val="18"/>
              </w:rPr>
              <w:t>9</w:t>
            </w:r>
          </w:p>
        </w:tc>
        <w:tc>
          <w:tcPr>
            <w:tcW w:w="861" w:type="pct"/>
            <w:vAlign w:val="center"/>
          </w:tcPr>
          <w:p w14:paraId="1BFD1D31" w14:textId="77777777" w:rsidR="00220165" w:rsidRPr="006F5AD7" w:rsidRDefault="00220165" w:rsidP="000223B3">
            <w:pPr>
              <w:pStyle w:val="SGBDS-Normal"/>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6F5AD7">
              <w:rPr>
                <w:rFonts w:asciiTheme="majorHAnsi" w:hAnsiTheme="majorHAnsi" w:cstheme="majorHAnsi"/>
                <w:sz w:val="18"/>
                <w:szCs w:val="18"/>
              </w:rPr>
              <w:t>-</w:t>
            </w:r>
          </w:p>
        </w:tc>
        <w:tc>
          <w:tcPr>
            <w:tcW w:w="857" w:type="pct"/>
            <w:vAlign w:val="center"/>
          </w:tcPr>
          <w:p w14:paraId="58558FA1" w14:textId="77777777" w:rsidR="00220165" w:rsidRPr="006F5AD7" w:rsidRDefault="00220165" w:rsidP="000223B3">
            <w:pPr>
              <w:pStyle w:val="SGBDS-Normal"/>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23,9</w:t>
            </w:r>
          </w:p>
        </w:tc>
      </w:tr>
      <w:tr w:rsidR="00220165" w:rsidRPr="006F5AD7" w14:paraId="7028459C" w14:textId="77777777" w:rsidTr="00220165">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679" w:type="pct"/>
            <w:tcBorders>
              <w:left w:val="none" w:sz="0" w:space="0" w:color="auto"/>
              <w:bottom w:val="none" w:sz="0" w:space="0" w:color="auto"/>
            </w:tcBorders>
            <w:shd w:val="clear" w:color="auto" w:fill="auto"/>
          </w:tcPr>
          <w:p w14:paraId="2E69BE66" w14:textId="77777777" w:rsidR="00220165" w:rsidRPr="006F5AD7" w:rsidRDefault="00220165" w:rsidP="000223B3">
            <w:pPr>
              <w:pStyle w:val="SGBDS-Normal"/>
              <w:spacing w:before="60" w:after="60"/>
              <w:rPr>
                <w:rFonts w:asciiTheme="majorHAnsi" w:hAnsiTheme="majorHAnsi" w:cstheme="majorHAnsi"/>
                <w:color w:val="FFFFFF"/>
                <w:sz w:val="18"/>
                <w:szCs w:val="18"/>
              </w:rPr>
            </w:pPr>
          </w:p>
        </w:tc>
        <w:tc>
          <w:tcPr>
            <w:tcW w:w="1040" w:type="pct"/>
            <w:shd w:val="clear" w:color="auto" w:fill="EA9600" w:themeFill="accent3" w:themeFillShade="80"/>
            <w:noWrap/>
            <w:vAlign w:val="center"/>
            <w:hideMark/>
          </w:tcPr>
          <w:p w14:paraId="29BA2C6B" w14:textId="77777777" w:rsidR="00220165" w:rsidRPr="006F5AD7" w:rsidRDefault="00220165" w:rsidP="000223B3">
            <w:pPr>
              <w:pStyle w:val="SGBDS-Normal"/>
              <w:spacing w:before="60" w:after="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sz w:val="18"/>
                <w:szCs w:val="18"/>
              </w:rPr>
            </w:pPr>
            <w:r w:rsidRPr="006F5AD7">
              <w:rPr>
                <w:rFonts w:asciiTheme="majorHAnsi" w:hAnsiTheme="majorHAnsi" w:cstheme="majorHAnsi"/>
                <w:b/>
                <w:bCs/>
                <w:color w:val="FFFFFF"/>
                <w:sz w:val="18"/>
                <w:szCs w:val="18"/>
              </w:rPr>
              <w:t>TOTAL</w:t>
            </w:r>
          </w:p>
        </w:tc>
        <w:tc>
          <w:tcPr>
            <w:tcW w:w="781" w:type="pct"/>
            <w:noWrap/>
            <w:vAlign w:val="center"/>
          </w:tcPr>
          <w:p w14:paraId="6646C4C8" w14:textId="77777777" w:rsidR="00220165" w:rsidRPr="006F5AD7" w:rsidRDefault="00220165" w:rsidP="000223B3">
            <w:pPr>
              <w:pStyle w:val="SGBDS-Normal"/>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8"/>
                <w:szCs w:val="18"/>
              </w:rPr>
            </w:pPr>
            <w:r w:rsidRPr="006F5AD7">
              <w:rPr>
                <w:rFonts w:asciiTheme="majorHAnsi" w:hAnsiTheme="majorHAnsi" w:cstheme="majorHAnsi"/>
                <w:b/>
                <w:bCs/>
                <w:sz w:val="18"/>
                <w:szCs w:val="18"/>
              </w:rPr>
              <w:t>192</w:t>
            </w:r>
          </w:p>
        </w:tc>
        <w:tc>
          <w:tcPr>
            <w:tcW w:w="782" w:type="pct"/>
            <w:vAlign w:val="center"/>
          </w:tcPr>
          <w:p w14:paraId="43F82A89" w14:textId="77777777" w:rsidR="00220165" w:rsidRPr="006F5AD7" w:rsidRDefault="00220165" w:rsidP="000223B3">
            <w:pPr>
              <w:pStyle w:val="SGBDS-Normal"/>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8"/>
                <w:szCs w:val="18"/>
              </w:rPr>
            </w:pPr>
            <w:r>
              <w:rPr>
                <w:rFonts w:asciiTheme="majorHAnsi" w:hAnsiTheme="majorHAnsi" w:cstheme="majorHAnsi"/>
                <w:b/>
                <w:bCs/>
                <w:sz w:val="18"/>
                <w:szCs w:val="18"/>
              </w:rPr>
              <w:t>235</w:t>
            </w:r>
          </w:p>
        </w:tc>
        <w:tc>
          <w:tcPr>
            <w:tcW w:w="861" w:type="pct"/>
            <w:vAlign w:val="center"/>
          </w:tcPr>
          <w:p w14:paraId="2284A99B" w14:textId="77777777" w:rsidR="00220165" w:rsidRPr="006F5AD7" w:rsidRDefault="00220165" w:rsidP="000223B3">
            <w:pPr>
              <w:pStyle w:val="SGBDS-Normal"/>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8"/>
                <w:szCs w:val="18"/>
              </w:rPr>
            </w:pPr>
            <w:r w:rsidRPr="006F5AD7">
              <w:rPr>
                <w:rFonts w:asciiTheme="majorHAnsi" w:hAnsiTheme="majorHAnsi" w:cstheme="majorHAnsi"/>
                <w:b/>
                <w:bCs/>
                <w:sz w:val="18"/>
                <w:szCs w:val="18"/>
              </w:rPr>
              <w:t>1 308</w:t>
            </w:r>
          </w:p>
        </w:tc>
        <w:tc>
          <w:tcPr>
            <w:tcW w:w="857" w:type="pct"/>
            <w:vAlign w:val="center"/>
          </w:tcPr>
          <w:p w14:paraId="566B5EFF" w14:textId="77777777" w:rsidR="00220165" w:rsidRPr="006F5AD7" w:rsidRDefault="00220165" w:rsidP="000223B3">
            <w:pPr>
              <w:pStyle w:val="SGBDS-Normal"/>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8"/>
                <w:szCs w:val="18"/>
              </w:rPr>
            </w:pPr>
            <w:r w:rsidRPr="006F5AD7">
              <w:rPr>
                <w:rFonts w:asciiTheme="majorHAnsi" w:hAnsiTheme="majorHAnsi" w:cstheme="majorHAnsi"/>
                <w:b/>
                <w:bCs/>
                <w:sz w:val="18"/>
                <w:szCs w:val="18"/>
              </w:rPr>
              <w:t>1 5</w:t>
            </w:r>
            <w:r>
              <w:rPr>
                <w:rFonts w:asciiTheme="majorHAnsi" w:hAnsiTheme="majorHAnsi" w:cstheme="majorHAnsi"/>
                <w:b/>
                <w:bCs/>
                <w:sz w:val="18"/>
                <w:szCs w:val="18"/>
              </w:rPr>
              <w:t>43</w:t>
            </w:r>
          </w:p>
        </w:tc>
      </w:tr>
    </w:tbl>
    <w:p w14:paraId="54035DDE" w14:textId="0918DE3A" w:rsidR="00220165" w:rsidRPr="006F5AD7" w:rsidRDefault="00220165" w:rsidP="00220165">
      <w:pPr>
        <w:pStyle w:val="QBO-Lgende"/>
        <w:spacing w:before="240"/>
      </w:pPr>
      <w:bookmarkStart w:id="15" w:name="_Toc166665861"/>
      <w:r w:rsidRPr="006F5AD7">
        <w:t xml:space="preserve">Tableau </w:t>
      </w:r>
      <w:r w:rsidR="005E669F">
        <w:fldChar w:fldCharType="begin"/>
      </w:r>
      <w:r w:rsidR="005E669F">
        <w:instrText xml:space="preserve"> SEQ Tableau \* ARABIC </w:instrText>
      </w:r>
      <w:r w:rsidR="005E669F">
        <w:fldChar w:fldCharType="separate"/>
      </w:r>
      <w:r w:rsidR="007F7541">
        <w:rPr>
          <w:noProof/>
        </w:rPr>
        <w:t>1</w:t>
      </w:r>
      <w:r w:rsidR="005E669F">
        <w:rPr>
          <w:noProof/>
        </w:rPr>
        <w:fldChar w:fldCharType="end"/>
      </w:r>
      <w:r>
        <w:rPr>
          <w:noProof/>
        </w:rPr>
        <w:t> :</w:t>
      </w:r>
      <w:r w:rsidRPr="006F5AD7">
        <w:t xml:space="preserve"> Répartition de la production actuelle, du potentiel de développement et de la production maximale estimée</w:t>
      </w:r>
      <w:bookmarkEnd w:id="15"/>
    </w:p>
    <w:p w14:paraId="2034F294" w14:textId="77777777" w:rsidR="00220165" w:rsidRPr="00374EC2" w:rsidRDefault="00220165" w:rsidP="00220165">
      <w:pPr>
        <w:pStyle w:val="QBO-Sources"/>
        <w:rPr>
          <w:i/>
          <w:iCs/>
          <w:u w:val="none"/>
        </w:rPr>
      </w:pPr>
      <w:r w:rsidRPr="00F73CB1">
        <w:t>Source : Schéma Directeur des Energies de Quimper Bretagne Occidentale, TerriSTORY</w:t>
      </w:r>
      <w:r w:rsidRPr="00374EC2">
        <w:rPr>
          <w:i/>
          <w:iCs/>
          <w:u w:val="none"/>
        </w:rPr>
        <w:t>®</w:t>
      </w:r>
    </w:p>
    <w:p w14:paraId="7D6194D2" w14:textId="77777777" w:rsidR="00F93A91" w:rsidRPr="00220165" w:rsidRDefault="00F93A91" w:rsidP="00055A7C">
      <w:pPr>
        <w:pStyle w:val="QBO-Texte"/>
      </w:pPr>
      <w:r w:rsidRPr="00220165">
        <w:t>La production d’ENR&amp;R a ainsi plus que doublé en presque 20 ans (+147% entre 2000 et 2022). Le bois-énergie représente la principale production d’énergie renouvelable sur le territoire (48% de la production), suivi de la production de chaleur par les pompes à chaleur et/ou la géothermie (23%). En 2022, la chaleur est le premier vecteur énergétique produit par des sources renouvelables sur le territoire, elle représente 81% de la production, suivie du biométhane (10%) et de l’électricité (9%).</w:t>
      </w:r>
    </w:p>
    <w:p w14:paraId="3F120F1A" w14:textId="0160CDD7" w:rsidR="007A22B4" w:rsidRPr="00220165" w:rsidRDefault="00F93A91" w:rsidP="00055A7C">
      <w:pPr>
        <w:pStyle w:val="QBO-Texte"/>
      </w:pPr>
      <w:r w:rsidRPr="00220165">
        <w:t xml:space="preserve">Le potentiel de production maximal d’ENR&amp;R est estimé à 1 308 GWh par an, soit environ 38% de la consommation d’énergie actuelle sur le territoire ce qui met en exergue une faible production d’ENR&amp;R locale. Ce potentiel est majoritairement issu du solaire photovoltaïque, ce qui souligne par ailleurs un mix énergique peu diversifié. </w:t>
      </w:r>
    </w:p>
    <w:p w14:paraId="75E2220B" w14:textId="1491BBEF" w:rsidR="007A22B4" w:rsidRPr="00F93A91" w:rsidRDefault="007A22B4" w:rsidP="00C30AB9">
      <w:pPr>
        <w:pStyle w:val="Titre2ALTEREA2018"/>
      </w:pPr>
      <w:bookmarkStart w:id="16" w:name="_Toc179277394"/>
      <w:r w:rsidRPr="00F93A91">
        <w:t>Les risques pour le territoire</w:t>
      </w:r>
      <w:bookmarkEnd w:id="16"/>
    </w:p>
    <w:p w14:paraId="7C7AF1DB" w14:textId="77777777" w:rsidR="002F6239" w:rsidRPr="00D276A4" w:rsidRDefault="002F6239" w:rsidP="002F6239">
      <w:pPr>
        <w:pStyle w:val="QBO-Texte"/>
        <w:rPr>
          <w:bCs/>
          <w:color w:val="A29F9F" w:themeColor="background2"/>
          <w:sz w:val="16"/>
          <w:szCs w:val="18"/>
          <w:u w:val="single"/>
        </w:rPr>
      </w:pPr>
      <w:r w:rsidRPr="00202121">
        <w:t xml:space="preserve">Entre 1982 et 2015, le territoire recense peu d’arrêtés de catastrophes naturelles. Néanmoins, les risques les plus prégnants sont, assez nettement, ceux liés aux </w:t>
      </w:r>
      <w:r w:rsidRPr="00202121">
        <w:rPr>
          <w:b/>
          <w:bCs/>
        </w:rPr>
        <w:t xml:space="preserve">inondations </w:t>
      </w:r>
      <w:r w:rsidRPr="00202121">
        <w:t>(34 arrêtés sur cette même période)</w:t>
      </w:r>
      <w:r>
        <w:t xml:space="preserve"> et </w:t>
      </w:r>
      <w:r w:rsidRPr="00202121">
        <w:t xml:space="preserve">aux </w:t>
      </w:r>
      <w:r w:rsidRPr="00202121">
        <w:rPr>
          <w:b/>
          <w:bCs/>
        </w:rPr>
        <w:t>coulées de boue</w:t>
      </w:r>
      <w:r w:rsidRPr="00202121">
        <w:t xml:space="preserve"> (32 arrêtés sur cette même période).</w:t>
      </w:r>
      <w:r>
        <w:t xml:space="preserve"> L</w:t>
      </w:r>
      <w:r w:rsidRPr="0051587C">
        <w:t xml:space="preserve">a </w:t>
      </w:r>
      <w:r>
        <w:t xml:space="preserve">communauté d’agglomération </w:t>
      </w:r>
      <w:r w:rsidRPr="0051587C">
        <w:t xml:space="preserve">Quimper Bretagne Occidentale pourrait faire davantage de prévention en lien avec le changement </w:t>
      </w:r>
      <w:r w:rsidRPr="0051587C">
        <w:lastRenderedPageBreak/>
        <w:t>climatique notamment en déployant davantage au sein des communes des Plans Communaux de Sauvegarde (PCS) et/ou des Plans de Prévention des Risques Naturels (PPRN).</w:t>
      </w:r>
    </w:p>
    <w:p w14:paraId="139D6907" w14:textId="77777777" w:rsidR="002F6239" w:rsidRDefault="002F6239" w:rsidP="002F6239">
      <w:pPr>
        <w:pStyle w:val="QBO-Texte"/>
      </w:pPr>
      <w:r w:rsidRPr="001458B9">
        <w:t xml:space="preserve">Les évolutions climatiques à l’œuvre sont toutefois susceptibles de multiplier les épisodes caniculaires et les sécheresses, phénomènes jusque-là exceptionnels sur le territoire de </w:t>
      </w:r>
      <w:r>
        <w:t>Quimper Bretagne Occidentale</w:t>
      </w:r>
      <w:r w:rsidRPr="001458B9">
        <w:t xml:space="preserve">. Ces changements à l’œuvre risquent également d’augmenter la pression sur la ressource en eau (besoins accrus) et sur l’équipement des bâtiments (climatisation, etc.). </w:t>
      </w:r>
    </w:p>
    <w:p w14:paraId="18D2FECC" w14:textId="77777777" w:rsidR="002F6239" w:rsidRPr="001458B9" w:rsidRDefault="002F6239" w:rsidP="002F6239">
      <w:pPr>
        <w:pStyle w:val="QBO-Texte"/>
      </w:pPr>
      <w:r w:rsidRPr="001458B9">
        <w:t>De manière générale, les évolutions climatiques auraient tendance à augmenter la vulnérabilité du territoire, et en particulier par les biais suivants :</w:t>
      </w:r>
    </w:p>
    <w:p w14:paraId="718595FF" w14:textId="77777777" w:rsidR="002F6239" w:rsidRPr="001458B9" w:rsidRDefault="002F6239" w:rsidP="002F6239">
      <w:pPr>
        <w:pStyle w:val="QBO-Puces1"/>
        <w:numPr>
          <w:ilvl w:val="0"/>
          <w:numId w:val="33"/>
        </w:numPr>
        <w:rPr>
          <w:rFonts w:cs="Arial"/>
        </w:rPr>
      </w:pPr>
      <w:r w:rsidRPr="001458B9">
        <w:rPr>
          <w:b/>
        </w:rPr>
        <w:t xml:space="preserve">Accentuation du phénomène de retrait/gonflement des argiles </w:t>
      </w:r>
      <w:r w:rsidRPr="001458B9">
        <w:t>par l’amplification des épisodes de sécheresses, entrainant des dégâts matériels plus importants</w:t>
      </w:r>
      <w:r>
        <w:t> ;</w:t>
      </w:r>
    </w:p>
    <w:p w14:paraId="2CD85930" w14:textId="77777777" w:rsidR="002F6239" w:rsidRPr="001458B9" w:rsidRDefault="002F6239" w:rsidP="002F6239">
      <w:pPr>
        <w:pStyle w:val="QBO-Puces1"/>
        <w:numPr>
          <w:ilvl w:val="0"/>
          <w:numId w:val="33"/>
        </w:numPr>
      </w:pPr>
      <w:r w:rsidRPr="001458B9">
        <w:t xml:space="preserve">Une forte </w:t>
      </w:r>
      <w:r w:rsidRPr="001458B9">
        <w:rPr>
          <w:b/>
        </w:rPr>
        <w:t>hausse du nombre d’épisodes caniculaires</w:t>
      </w:r>
      <w:r w:rsidRPr="001458B9">
        <w:t xml:space="preserve"> qui peut entrainer une surmortalité de la population sensible aux fortes chaleurs</w:t>
      </w:r>
      <w:r>
        <w:t> ;</w:t>
      </w:r>
    </w:p>
    <w:p w14:paraId="02E26287" w14:textId="77777777" w:rsidR="002F6239" w:rsidRPr="001458B9" w:rsidRDefault="002F6239" w:rsidP="002F6239">
      <w:pPr>
        <w:pStyle w:val="QBO-Puces1"/>
        <w:numPr>
          <w:ilvl w:val="0"/>
          <w:numId w:val="33"/>
        </w:numPr>
      </w:pPr>
      <w:r w:rsidRPr="001458B9">
        <w:rPr>
          <w:b/>
        </w:rPr>
        <w:t xml:space="preserve">Le développement localisé de l’effet </w:t>
      </w:r>
      <w:r>
        <w:rPr>
          <w:b/>
        </w:rPr>
        <w:t>d’</w:t>
      </w:r>
      <w:r w:rsidRPr="001458B9">
        <w:rPr>
          <w:b/>
        </w:rPr>
        <w:t>Î</w:t>
      </w:r>
      <w:r>
        <w:rPr>
          <w:b/>
        </w:rPr>
        <w:t>lot de Chaleur Urbain (IC</w:t>
      </w:r>
      <w:r w:rsidRPr="001458B9">
        <w:rPr>
          <w:b/>
        </w:rPr>
        <w:t>U</w:t>
      </w:r>
      <w:r>
        <w:rPr>
          <w:b/>
        </w:rPr>
        <w:t>)</w:t>
      </w:r>
      <w:r w:rsidRPr="001458B9">
        <w:rPr>
          <w:b/>
        </w:rPr>
        <w:t xml:space="preserve"> </w:t>
      </w:r>
      <w:r w:rsidRPr="001458B9">
        <w:t>entrainant l’élévation des températures au sein des zone</w:t>
      </w:r>
      <w:r>
        <w:t>s</w:t>
      </w:r>
      <w:r w:rsidRPr="001458B9">
        <w:t xml:space="preserve"> urbanisées. L’effet d’îlot de chaleur urbain intervient comme un facteur aggravant de la canicule, et contribue à faire grimper davantage les températures par rapport à d’autres zones pourtant soumises aux mêmes conditions météorologiques</w:t>
      </w:r>
      <w:r>
        <w:t> ;</w:t>
      </w:r>
    </w:p>
    <w:p w14:paraId="41EA9196" w14:textId="77777777" w:rsidR="002F6239" w:rsidRPr="001458B9" w:rsidRDefault="002F6239" w:rsidP="002F6239">
      <w:pPr>
        <w:pStyle w:val="QBO-Puces1"/>
        <w:numPr>
          <w:ilvl w:val="0"/>
          <w:numId w:val="33"/>
        </w:numPr>
      </w:pPr>
      <w:r w:rsidRPr="001458B9">
        <w:t xml:space="preserve">Une </w:t>
      </w:r>
      <w:r w:rsidRPr="001458B9">
        <w:rPr>
          <w:b/>
        </w:rPr>
        <w:t>augmentation de la fréquence des épisodes de sécheresse</w:t>
      </w:r>
      <w:r w:rsidRPr="001458B9">
        <w:t xml:space="preserve"> générant une baisse de la disponibilité des ressources en eau</w:t>
      </w:r>
      <w:r>
        <w:t> ;</w:t>
      </w:r>
    </w:p>
    <w:p w14:paraId="5EDFF857" w14:textId="77777777" w:rsidR="002F6239" w:rsidRPr="001458B9" w:rsidRDefault="002F6239" w:rsidP="002F6239">
      <w:pPr>
        <w:pStyle w:val="QBO-Puces1"/>
        <w:numPr>
          <w:ilvl w:val="0"/>
          <w:numId w:val="33"/>
        </w:numPr>
      </w:pPr>
      <w:r w:rsidRPr="001458B9">
        <w:rPr>
          <w:b/>
        </w:rPr>
        <w:t>L’amplification du risque d’incendie</w:t>
      </w:r>
      <w:r w:rsidRPr="001458B9">
        <w:t xml:space="preserve"> sur les espaces forestiers en période estivale</w:t>
      </w:r>
      <w:r>
        <w:t> ;</w:t>
      </w:r>
    </w:p>
    <w:p w14:paraId="51471212" w14:textId="77777777" w:rsidR="002F6239" w:rsidRPr="001458B9" w:rsidRDefault="002F6239" w:rsidP="002F6239">
      <w:pPr>
        <w:pStyle w:val="QBO-Puces1"/>
        <w:numPr>
          <w:ilvl w:val="0"/>
          <w:numId w:val="33"/>
        </w:numPr>
      </w:pPr>
      <w:r w:rsidRPr="001458B9">
        <w:t xml:space="preserve">Une </w:t>
      </w:r>
      <w:r w:rsidRPr="001458B9">
        <w:rPr>
          <w:b/>
        </w:rPr>
        <w:t>dégradation de la qualité de l’air</w:t>
      </w:r>
      <w:r w:rsidRPr="001458B9">
        <w:t>, lors des vagues de chaleur très fortes : les températures au-delà de 30°C sont notamment favorables à la formation d’ozone</w:t>
      </w:r>
      <w:r>
        <w:t xml:space="preserve"> (impacts sur la santé des populations, les rendements des cultures, le stockage carbone, etc.)</w:t>
      </w:r>
      <w:r w:rsidRPr="001458B9">
        <w:t xml:space="preserve"> au sol et d’autres polluants atmosphériques</w:t>
      </w:r>
      <w:r>
        <w:t> ;</w:t>
      </w:r>
    </w:p>
    <w:p w14:paraId="2E8D2F08" w14:textId="77777777" w:rsidR="002F6239" w:rsidRPr="00AB6BCC" w:rsidRDefault="002F6239" w:rsidP="002F6239">
      <w:pPr>
        <w:pStyle w:val="QBO-Puces1"/>
        <w:numPr>
          <w:ilvl w:val="0"/>
          <w:numId w:val="33"/>
        </w:numPr>
        <w:spacing w:after="240"/>
      </w:pPr>
      <w:r w:rsidRPr="001458B9">
        <w:t xml:space="preserve">La </w:t>
      </w:r>
      <w:r w:rsidRPr="001458B9">
        <w:rPr>
          <w:b/>
        </w:rPr>
        <w:t xml:space="preserve">quantité et la qualité de la ressource en eau pourraient être dégradées </w:t>
      </w:r>
      <w:r w:rsidRPr="001458B9">
        <w:t>par l’augmentation de la pression anthropique et d’une raréfaction estivale de la ressource disponible</w:t>
      </w:r>
      <w:r>
        <w:t>.</w:t>
      </w:r>
    </w:p>
    <w:p w14:paraId="79520E5C" w14:textId="77777777" w:rsidR="002F6239" w:rsidRPr="001458B9" w:rsidRDefault="002F6239" w:rsidP="002F6239">
      <w:pPr>
        <w:pStyle w:val="Paragraphedeliste"/>
        <w:spacing w:line="257" w:lineRule="auto"/>
        <w:ind w:left="0"/>
        <w:contextualSpacing w:val="0"/>
        <w:rPr>
          <w:rFonts w:cs="Arial"/>
        </w:rPr>
      </w:pPr>
      <w:r>
        <w:rPr>
          <w:noProof/>
        </w:rPr>
        <w:drawing>
          <wp:anchor distT="0" distB="0" distL="114300" distR="114300" simplePos="0" relativeHeight="252803072" behindDoc="0" locked="0" layoutInCell="1" allowOverlap="1" wp14:anchorId="7EDF2307" wp14:editId="514FB8CE">
            <wp:simplePos x="0" y="0"/>
            <wp:positionH relativeFrom="column">
              <wp:posOffset>4091940</wp:posOffset>
            </wp:positionH>
            <wp:positionV relativeFrom="paragraph">
              <wp:posOffset>941969</wp:posOffset>
            </wp:positionV>
            <wp:extent cx="371475" cy="365125"/>
            <wp:effectExtent l="0" t="0" r="9525" b="0"/>
            <wp:wrapNone/>
            <wp:docPr id="592803662" name="Image 12" descr="Observations - Légende des pictogrammes - Côté Mété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bservations - Légende des pictogrammes - Côté Météo"/>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1475" cy="365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02048" behindDoc="0" locked="0" layoutInCell="1" allowOverlap="1" wp14:anchorId="7A719B03" wp14:editId="7354BCAB">
            <wp:simplePos x="0" y="0"/>
            <wp:positionH relativeFrom="column">
              <wp:posOffset>4902200</wp:posOffset>
            </wp:positionH>
            <wp:positionV relativeFrom="paragraph">
              <wp:posOffset>971550</wp:posOffset>
            </wp:positionV>
            <wp:extent cx="479425" cy="359569"/>
            <wp:effectExtent l="0" t="0" r="0" b="2540"/>
            <wp:wrapNone/>
            <wp:docPr id="978213677" name="Image 11" descr="Glissement terrain : 37 968 images, photos et images vectorielles de stock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lissement terrain : 37 968 images, photos et images vectorielles de stock  | Shutterstock"/>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8889" b="21111"/>
                    <a:stretch/>
                  </pic:blipFill>
                  <pic:spPr bwMode="auto">
                    <a:xfrm>
                      <a:off x="0" y="0"/>
                      <a:ext cx="479425" cy="3595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01024" behindDoc="0" locked="0" layoutInCell="1" allowOverlap="1" wp14:anchorId="14D6F29F" wp14:editId="1526730A">
            <wp:simplePos x="0" y="0"/>
            <wp:positionH relativeFrom="column">
              <wp:posOffset>3213100</wp:posOffset>
            </wp:positionH>
            <wp:positionV relativeFrom="paragraph">
              <wp:posOffset>936102</wp:posOffset>
            </wp:positionV>
            <wp:extent cx="409575" cy="409575"/>
            <wp:effectExtent l="0" t="0" r="9525" b="0"/>
            <wp:wrapNone/>
            <wp:docPr id="1418346427" name="Image 8" descr="Une image contenant Graphique, graphisme, créativité,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346427" name="Image 8" descr="Une image contenant Graphique, graphisme, créativité, conception&#10;&#10;Description générée automatiquemen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2155">
        <w:rPr>
          <w:rFonts w:cs="Arial"/>
          <w:noProof/>
        </w:rPr>
        <mc:AlternateContent>
          <mc:Choice Requires="wpg">
            <w:drawing>
              <wp:inline distT="0" distB="0" distL="0" distR="0" wp14:anchorId="7F17FFBA" wp14:editId="56BA6C25">
                <wp:extent cx="5952158" cy="2682818"/>
                <wp:effectExtent l="0" t="0" r="0" b="3810"/>
                <wp:docPr id="1566062184" name="Groupe 1566062184"/>
                <wp:cNvGraphicFramePr/>
                <a:graphic xmlns:a="http://schemas.openxmlformats.org/drawingml/2006/main">
                  <a:graphicData uri="http://schemas.microsoft.com/office/word/2010/wordprocessingGroup">
                    <wpg:wgp>
                      <wpg:cNvGrpSpPr/>
                      <wpg:grpSpPr>
                        <a:xfrm>
                          <a:off x="0" y="0"/>
                          <a:ext cx="5952158" cy="2682818"/>
                          <a:chOff x="396849" y="120716"/>
                          <a:chExt cx="4630733" cy="3173665"/>
                        </a:xfrm>
                      </wpg:grpSpPr>
                      <wps:wsp>
                        <wps:cNvPr id="1829930003" name="Zone de texte 2"/>
                        <wps:cNvSpPr txBox="1">
                          <a:spLocks noChangeArrowheads="1"/>
                        </wps:cNvSpPr>
                        <wps:spPr bwMode="auto">
                          <a:xfrm>
                            <a:off x="731443" y="1927953"/>
                            <a:ext cx="784373" cy="899400"/>
                          </a:xfrm>
                          <a:prstGeom prst="rect">
                            <a:avLst/>
                          </a:prstGeom>
                          <a:noFill/>
                          <a:ln w="9525">
                            <a:noFill/>
                            <a:miter lim="800000"/>
                            <a:headEnd/>
                            <a:tailEnd/>
                          </a:ln>
                        </wps:spPr>
                        <wps:txbx>
                          <w:txbxContent>
                            <w:p w14:paraId="2A3EDCEB" w14:textId="77777777" w:rsidR="002F6239" w:rsidRPr="003428B2" w:rsidRDefault="002F6239" w:rsidP="002F6239">
                              <w:pPr>
                                <w:jc w:val="center"/>
                                <w:rPr>
                                  <w:i/>
                                  <w:sz w:val="18"/>
                                  <w:szCs w:val="18"/>
                                </w:rPr>
                              </w:pPr>
                              <w:r w:rsidRPr="003428B2">
                                <w:rPr>
                                  <w:i/>
                                  <w:sz w:val="18"/>
                                  <w:szCs w:val="18"/>
                                </w:rPr>
                                <w:t>Inondations et coulées de boue</w:t>
                              </w:r>
                            </w:p>
                          </w:txbxContent>
                        </wps:txbx>
                        <wps:bodyPr rot="0" vert="horz" wrap="square" lIns="91440" tIns="45720" rIns="91440" bIns="45720" anchor="t" anchorCtr="0">
                          <a:noAutofit/>
                        </wps:bodyPr>
                      </wps:wsp>
                      <wpg:grpSp>
                        <wpg:cNvPr id="1945909807" name="Groupe 1945909807"/>
                        <wpg:cNvGrpSpPr/>
                        <wpg:grpSpPr>
                          <a:xfrm>
                            <a:off x="396849" y="120716"/>
                            <a:ext cx="4630733" cy="3173665"/>
                            <a:chOff x="396849" y="120716"/>
                            <a:chExt cx="4630733" cy="3173665"/>
                          </a:xfrm>
                        </wpg:grpSpPr>
                        <wps:wsp>
                          <wps:cNvPr id="818769633" name="Zone de texte 2"/>
                          <wps:cNvSpPr txBox="1">
                            <a:spLocks noChangeArrowheads="1"/>
                          </wps:cNvSpPr>
                          <wps:spPr bwMode="auto">
                            <a:xfrm>
                              <a:off x="1903296" y="1916716"/>
                              <a:ext cx="946949" cy="588715"/>
                            </a:xfrm>
                            <a:prstGeom prst="rect">
                              <a:avLst/>
                            </a:prstGeom>
                            <a:noFill/>
                            <a:ln w="9525">
                              <a:noFill/>
                              <a:miter lim="800000"/>
                              <a:headEnd/>
                              <a:tailEnd/>
                            </a:ln>
                          </wps:spPr>
                          <wps:txbx>
                            <w:txbxContent>
                              <w:p w14:paraId="48ADFC76" w14:textId="77777777" w:rsidR="002F6239" w:rsidRPr="003428B2" w:rsidRDefault="002F6239" w:rsidP="002F6239">
                                <w:pPr>
                                  <w:jc w:val="center"/>
                                  <w:rPr>
                                    <w:i/>
                                    <w:sz w:val="18"/>
                                    <w:szCs w:val="18"/>
                                  </w:rPr>
                                </w:pPr>
                                <w:r w:rsidRPr="003428B2">
                                  <w:rPr>
                                    <w:i/>
                                    <w:sz w:val="18"/>
                                    <w:szCs w:val="18"/>
                                  </w:rPr>
                                  <w:t>Mouvements de terrain</w:t>
                                </w:r>
                              </w:p>
                              <w:p w14:paraId="55BB1F15" w14:textId="77777777" w:rsidR="002F6239" w:rsidRPr="003428B2" w:rsidRDefault="002F6239" w:rsidP="002F6239">
                                <w:pPr>
                                  <w:jc w:val="center"/>
                                  <w:rPr>
                                    <w:i/>
                                    <w:sz w:val="18"/>
                                    <w:szCs w:val="18"/>
                                  </w:rPr>
                                </w:pPr>
                              </w:p>
                            </w:txbxContent>
                          </wps:txbx>
                          <wps:bodyPr rot="0" vert="horz" wrap="square" lIns="91440" tIns="45720" rIns="91440" bIns="45720" anchor="t" anchorCtr="0">
                            <a:noAutofit/>
                          </wps:bodyPr>
                        </wps:wsp>
                        <wps:wsp>
                          <wps:cNvPr id="1904311674" name="Zone de texte 2"/>
                          <wps:cNvSpPr txBox="1">
                            <a:spLocks noChangeArrowheads="1"/>
                          </wps:cNvSpPr>
                          <wps:spPr bwMode="auto">
                            <a:xfrm>
                              <a:off x="2428124" y="2471049"/>
                              <a:ext cx="1293963" cy="695831"/>
                            </a:xfrm>
                            <a:prstGeom prst="rect">
                              <a:avLst/>
                            </a:prstGeom>
                            <a:noFill/>
                            <a:ln w="9525">
                              <a:noFill/>
                              <a:miter lim="800000"/>
                              <a:headEnd/>
                              <a:tailEnd/>
                            </a:ln>
                          </wps:spPr>
                          <wps:txbx>
                            <w:txbxContent>
                              <w:p w14:paraId="06A4537B" w14:textId="77777777" w:rsidR="002F6239" w:rsidRPr="003428B2" w:rsidRDefault="002F6239" w:rsidP="002F6239">
                                <w:pPr>
                                  <w:jc w:val="center"/>
                                  <w:rPr>
                                    <w:i/>
                                    <w:sz w:val="18"/>
                                    <w:szCs w:val="18"/>
                                  </w:rPr>
                                </w:pPr>
                                <w:r w:rsidRPr="003428B2">
                                  <w:rPr>
                                    <w:i/>
                                    <w:sz w:val="18"/>
                                    <w:szCs w:val="18"/>
                                  </w:rPr>
                                  <w:t>Inondations et chocs mécaniques liés à l'action des vagues</w:t>
                                </w:r>
                              </w:p>
                            </w:txbxContent>
                          </wps:txbx>
                          <wps:bodyPr rot="0" vert="horz" wrap="square" lIns="91440" tIns="45720" rIns="91440" bIns="45720" anchor="t" anchorCtr="0">
                            <a:noAutofit/>
                          </wps:bodyPr>
                        </wps:wsp>
                        <wpg:grpSp>
                          <wpg:cNvPr id="891174838" name="Groupe 891174838"/>
                          <wpg:cNvGrpSpPr/>
                          <wpg:grpSpPr>
                            <a:xfrm>
                              <a:off x="396849" y="120716"/>
                              <a:ext cx="4630733" cy="3173665"/>
                              <a:chOff x="396849" y="120716"/>
                              <a:chExt cx="4630733" cy="3173665"/>
                            </a:xfrm>
                          </wpg:grpSpPr>
                          <wpg:grpSp>
                            <wpg:cNvPr id="341343011" name="Groupe 341343011"/>
                            <wpg:cNvGrpSpPr/>
                            <wpg:grpSpPr>
                              <a:xfrm>
                                <a:off x="396849" y="120716"/>
                                <a:ext cx="4630733" cy="3173665"/>
                                <a:chOff x="444474" y="120716"/>
                                <a:chExt cx="4630733" cy="3173665"/>
                              </a:xfrm>
                            </wpg:grpSpPr>
                            <wps:wsp>
                              <wps:cNvPr id="844039350" name="Zone de texte 2"/>
                              <wps:cNvSpPr txBox="1">
                                <a:spLocks noChangeArrowheads="1"/>
                              </wps:cNvSpPr>
                              <wps:spPr bwMode="auto">
                                <a:xfrm rot="16200000">
                                  <a:off x="-312129" y="877319"/>
                                  <a:ext cx="1806575" cy="293370"/>
                                </a:xfrm>
                                <a:prstGeom prst="rect">
                                  <a:avLst/>
                                </a:prstGeom>
                                <a:noFill/>
                                <a:ln w="9525">
                                  <a:noFill/>
                                  <a:miter lim="800000"/>
                                  <a:headEnd/>
                                  <a:tailEnd/>
                                </a:ln>
                              </wps:spPr>
                              <wps:txbx>
                                <w:txbxContent>
                                  <w:p w14:paraId="692349E8" w14:textId="77777777" w:rsidR="002F6239" w:rsidRPr="003428B2" w:rsidRDefault="002F6239" w:rsidP="002F6239">
                                    <w:pPr>
                                      <w:rPr>
                                        <w:i/>
                                        <w:sz w:val="18"/>
                                        <w:szCs w:val="18"/>
                                      </w:rPr>
                                    </w:pPr>
                                    <w:r w:rsidRPr="003428B2">
                                      <w:rPr>
                                        <w:i/>
                                        <w:sz w:val="18"/>
                                        <w:szCs w:val="18"/>
                                      </w:rPr>
                                      <w:t>Importance du risque</w:t>
                                    </w:r>
                                  </w:p>
                                </w:txbxContent>
                              </wps:txbx>
                              <wps:bodyPr rot="0" vert="horz" wrap="square" lIns="91440" tIns="45720" rIns="91440" bIns="45720" anchor="t" anchorCtr="0">
                                <a:noAutofit/>
                              </wps:bodyPr>
                            </wps:wsp>
                            <wps:wsp>
                              <wps:cNvPr id="1116127067" name="Flèche : droite 1116127067"/>
                              <wps:cNvSpPr/>
                              <wps:spPr>
                                <a:xfrm rot="16200000">
                                  <a:off x="-43152" y="904946"/>
                                  <a:ext cx="1686560" cy="217170"/>
                                </a:xfrm>
                                <a:prstGeom prst="rightArrow">
                                  <a:avLst/>
                                </a:prstGeom>
                                <a:gradFill flip="none" rotWithShape="1">
                                  <a:gsLst>
                                    <a:gs pos="0">
                                      <a:schemeClr val="tx2">
                                        <a:lumMod val="50000"/>
                                        <a:tint val="66000"/>
                                        <a:satMod val="160000"/>
                                      </a:schemeClr>
                                    </a:gs>
                                    <a:gs pos="50000">
                                      <a:schemeClr val="tx2">
                                        <a:lumMod val="50000"/>
                                        <a:tint val="44500"/>
                                        <a:satMod val="160000"/>
                                      </a:schemeClr>
                                    </a:gs>
                                    <a:gs pos="100000">
                                      <a:schemeClr val="tx2">
                                        <a:lumMod val="50000"/>
                                        <a:tint val="23500"/>
                                        <a:satMod val="160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70321080" name="Groupe 1370321080"/>
                              <wpg:cNvGrpSpPr/>
                              <wpg:grpSpPr>
                                <a:xfrm>
                                  <a:off x="950451" y="170250"/>
                                  <a:ext cx="4124756" cy="3124131"/>
                                  <a:chOff x="950451" y="113100"/>
                                  <a:chExt cx="4124756" cy="3124131"/>
                                </a:xfrm>
                              </wpg:grpSpPr>
                              <wpg:grpSp>
                                <wpg:cNvPr id="633865408" name="Groupe 633865408"/>
                                <wpg:cNvGrpSpPr/>
                                <wpg:grpSpPr>
                                  <a:xfrm>
                                    <a:off x="2232459" y="1175878"/>
                                    <a:ext cx="407670" cy="602217"/>
                                    <a:chOff x="-1248685" y="719883"/>
                                    <a:chExt cx="716201" cy="602792"/>
                                  </a:xfrm>
                                </wpg:grpSpPr>
                                <wps:wsp>
                                  <wps:cNvPr id="432605636" name="Rectangle 432605636"/>
                                  <wps:cNvSpPr/>
                                  <wps:spPr>
                                    <a:xfrm>
                                      <a:off x="-1248685" y="1204856"/>
                                      <a:ext cx="716201" cy="117819"/>
                                    </a:xfrm>
                                    <a:prstGeom prst="rect">
                                      <a:avLst/>
                                    </a:prstGeom>
                                    <a:solidFill>
                                      <a:schemeClr val="tx1">
                                        <a:lumMod val="20000"/>
                                        <a:lumOff val="80000"/>
                                      </a:schemeClr>
                                    </a:solidFill>
                                    <a:ln>
                                      <a:solidFill>
                                        <a:schemeClr val="tx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84736006" name="Image 584736006"/>
                                    <pic:cNvPicPr/>
                                  </pic:nvPicPr>
                                  <pic:blipFill rotWithShape="1">
                                    <a:blip r:embed="rId46" cstate="email">
                                      <a:extLst>
                                        <a:ext uri="{28A0092B-C50C-407E-A947-70E740481C1C}">
                                          <a14:useLocalDpi xmlns:a14="http://schemas.microsoft.com/office/drawing/2010/main"/>
                                        </a:ext>
                                      </a:extLst>
                                    </a:blip>
                                    <a:srcRect l="-1" t="60970" r="79" b="38"/>
                                    <a:stretch/>
                                  </pic:blipFill>
                                  <pic:spPr>
                                    <a:xfrm>
                                      <a:off x="-1248669" y="719883"/>
                                      <a:ext cx="676317" cy="338992"/>
                                    </a:xfrm>
                                    <a:prstGeom prst="rect">
                                      <a:avLst/>
                                    </a:prstGeom>
                                  </pic:spPr>
                                </pic:pic>
                              </wpg:grpSp>
                              <wps:wsp>
                                <wps:cNvPr id="536600217" name="Rectangle 536600217"/>
                                <wps:cNvSpPr/>
                                <wps:spPr>
                                  <a:xfrm>
                                    <a:off x="950451" y="635029"/>
                                    <a:ext cx="410804" cy="1142795"/>
                                  </a:xfrm>
                                  <a:prstGeom prst="rect">
                                    <a:avLst/>
                                  </a:prstGeom>
                                  <a:solidFill>
                                    <a:schemeClr val="tx1">
                                      <a:lumMod val="60000"/>
                                      <a:lumOff val="40000"/>
                                    </a:schemeClr>
                                  </a:solidFill>
                                  <a:ln>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58605468" name="Rectangle 1658605468"/>
                                <wps:cNvSpPr/>
                                <wps:spPr>
                                  <a:xfrm>
                                    <a:off x="2897871" y="1656199"/>
                                    <a:ext cx="410210" cy="121626"/>
                                  </a:xfrm>
                                  <a:prstGeom prst="rect">
                                    <a:avLst/>
                                  </a:prstGeom>
                                  <a:solidFill>
                                    <a:schemeClr val="bg2">
                                      <a:lumMod val="40000"/>
                                      <a:lumOff val="60000"/>
                                    </a:schemeClr>
                                  </a:solidFill>
                                  <a:ln>
                                    <a:solidFill>
                                      <a:schemeClr val="bg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948476127" name="Groupe 948476127"/>
                                <wpg:cNvGrpSpPr/>
                                <wpg:grpSpPr>
                                  <a:xfrm>
                                    <a:off x="1034990" y="113100"/>
                                    <a:ext cx="1189348" cy="2995973"/>
                                    <a:chOff x="-2128032" y="-547052"/>
                                    <a:chExt cx="1189834" cy="2997274"/>
                                  </a:xfrm>
                                </wpg:grpSpPr>
                                <pic:pic xmlns:pic="http://schemas.openxmlformats.org/drawingml/2006/picture">
                                  <pic:nvPicPr>
                                    <pic:cNvPr id="1232497152" name="Image 1232497152"/>
                                    <pic:cNvPicPr/>
                                  </pic:nvPicPr>
                                  <pic:blipFill>
                                    <a:blip r:embed="rId47">
                                      <a:extLst>
                                        <a:ext uri="{28A0092B-C50C-407E-A947-70E740481C1C}">
                                          <a14:useLocalDpi xmlns:a14="http://schemas.microsoft.com/office/drawing/2010/main" val="0"/>
                                        </a:ext>
                                      </a:extLst>
                                    </a:blip>
                                    <a:srcRect/>
                                    <a:stretch/>
                                  </pic:blipFill>
                                  <pic:spPr>
                                    <a:xfrm>
                                      <a:off x="-2128032" y="-547052"/>
                                      <a:ext cx="274143" cy="451494"/>
                                    </a:xfrm>
                                    <a:prstGeom prst="rect">
                                      <a:avLst/>
                                    </a:prstGeom>
                                  </pic:spPr>
                                </pic:pic>
                                <wps:wsp>
                                  <wps:cNvPr id="737738373" name="Zone de texte 2"/>
                                  <wps:cNvSpPr txBox="1">
                                    <a:spLocks noChangeArrowheads="1"/>
                                  </wps:cNvSpPr>
                                  <wps:spPr bwMode="auto">
                                    <a:xfrm>
                                      <a:off x="-1766818" y="1798337"/>
                                      <a:ext cx="828620" cy="651885"/>
                                    </a:xfrm>
                                    <a:prstGeom prst="rect">
                                      <a:avLst/>
                                    </a:prstGeom>
                                    <a:noFill/>
                                    <a:ln w="9525">
                                      <a:noFill/>
                                      <a:miter lim="800000"/>
                                      <a:headEnd/>
                                      <a:tailEnd/>
                                    </a:ln>
                                  </wps:spPr>
                                  <wps:txbx>
                                    <w:txbxContent>
                                      <w:p w14:paraId="09D73A47" w14:textId="77777777" w:rsidR="002F6239" w:rsidRPr="003428B2" w:rsidRDefault="002F6239" w:rsidP="002F6239">
                                        <w:pPr>
                                          <w:jc w:val="center"/>
                                          <w:rPr>
                                            <w:i/>
                                            <w:sz w:val="18"/>
                                            <w:szCs w:val="18"/>
                                          </w:rPr>
                                        </w:pPr>
                                        <w:r w:rsidRPr="003428B2">
                                          <w:rPr>
                                            <w:i/>
                                            <w:sz w:val="18"/>
                                            <w:szCs w:val="18"/>
                                          </w:rPr>
                                          <w:t>Tempêtes, vents violents</w:t>
                                        </w:r>
                                      </w:p>
                                    </w:txbxContent>
                                  </wps:txbx>
                                  <wps:bodyPr rot="0" vert="horz" wrap="square" lIns="91440" tIns="45720" rIns="91440" bIns="45720" anchor="t" anchorCtr="0">
                                    <a:noAutofit/>
                                  </wps:bodyPr>
                                </wps:wsp>
                                <wps:wsp>
                                  <wps:cNvPr id="936566911" name="Rectangle 936566911"/>
                                  <wps:cNvSpPr/>
                                  <wps:spPr>
                                    <a:xfrm>
                                      <a:off x="-1566769" y="761207"/>
                                      <a:ext cx="410804" cy="347467"/>
                                    </a:xfrm>
                                    <a:prstGeom prst="rect">
                                      <a:avLst/>
                                    </a:prstGeom>
                                    <a:solidFill>
                                      <a:schemeClr val="tx1">
                                        <a:lumMod val="40000"/>
                                        <a:lumOff val="60000"/>
                                      </a:schemeClr>
                                    </a:solidFill>
                                    <a:ln>
                                      <a:solidFill>
                                        <a:schemeClr val="tx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50974115" name="Groupe 1650974115"/>
                                <wpg:cNvGrpSpPr/>
                                <wpg:grpSpPr>
                                  <a:xfrm>
                                    <a:off x="3573840" y="1688443"/>
                                    <a:ext cx="1501367" cy="1548788"/>
                                    <a:chOff x="2597602" y="1872359"/>
                                    <a:chExt cx="1660656" cy="1550212"/>
                                  </a:xfrm>
                                </wpg:grpSpPr>
                                <wps:wsp>
                                  <wps:cNvPr id="273993698" name="Rectangle 273993698"/>
                                  <wps:cNvSpPr/>
                                  <wps:spPr>
                                    <a:xfrm>
                                      <a:off x="2597602" y="1872359"/>
                                      <a:ext cx="476250" cy="79371"/>
                                    </a:xfrm>
                                    <a:prstGeom prst="rect">
                                      <a:avLst/>
                                    </a:prstGeom>
                                    <a:solidFill>
                                      <a:schemeClr val="bg2">
                                        <a:lumMod val="20000"/>
                                        <a:lumOff val="80000"/>
                                      </a:schemeClr>
                                    </a:solidFill>
                                    <a:ln>
                                      <a:solidFill>
                                        <a:schemeClr val="bg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813559" name="Zone de texte 2"/>
                                  <wps:cNvSpPr txBox="1">
                                    <a:spLocks noChangeArrowheads="1"/>
                                  </wps:cNvSpPr>
                                  <wps:spPr bwMode="auto">
                                    <a:xfrm>
                                      <a:off x="2885021" y="2444390"/>
                                      <a:ext cx="1373237" cy="978181"/>
                                    </a:xfrm>
                                    <a:prstGeom prst="rect">
                                      <a:avLst/>
                                    </a:prstGeom>
                                    <a:noFill/>
                                    <a:ln w="9525">
                                      <a:noFill/>
                                      <a:miter lim="800000"/>
                                      <a:headEnd/>
                                      <a:tailEnd/>
                                    </a:ln>
                                  </wps:spPr>
                                  <wps:txbx>
                                    <w:txbxContent>
                                      <w:p w14:paraId="20E365F9" w14:textId="77777777" w:rsidR="002F6239" w:rsidRPr="003428B2" w:rsidRDefault="002F6239" w:rsidP="002F6239">
                                        <w:pPr>
                                          <w:jc w:val="center"/>
                                          <w:rPr>
                                            <w:i/>
                                            <w:sz w:val="18"/>
                                            <w:szCs w:val="18"/>
                                          </w:rPr>
                                        </w:pPr>
                                        <w:r w:rsidRPr="003428B2">
                                          <w:rPr>
                                            <w:i/>
                                            <w:sz w:val="18"/>
                                            <w:szCs w:val="18"/>
                                          </w:rPr>
                                          <w:t>Eboulement, glissement et affaissement de terrain</w:t>
                                        </w:r>
                                      </w:p>
                                    </w:txbxContent>
                                  </wps:txbx>
                                  <wps:bodyPr rot="0" vert="horz" wrap="square" lIns="91440" tIns="45720" rIns="91440" bIns="45720" anchor="t" anchorCtr="0">
                                    <a:noAutofit/>
                                  </wps:bodyPr>
                                </wps:wsp>
                              </wpg:grpSp>
                              <wpg:grpSp>
                                <wpg:cNvPr id="1265461023" name="Groupe 1265461023"/>
                                <wpg:cNvGrpSpPr/>
                                <wpg:grpSpPr>
                                  <a:xfrm>
                                    <a:off x="3350123" y="1688792"/>
                                    <a:ext cx="1329506" cy="905539"/>
                                    <a:chOff x="2360609" y="927099"/>
                                    <a:chExt cx="1500874" cy="906038"/>
                                  </a:xfrm>
                                </wpg:grpSpPr>
                                <wps:wsp>
                                  <wps:cNvPr id="1135732394" name="Rectangle 1135732394"/>
                                  <wps:cNvSpPr/>
                                  <wps:spPr>
                                    <a:xfrm>
                                      <a:off x="3366183" y="927099"/>
                                      <a:ext cx="495300" cy="63843"/>
                                    </a:xfrm>
                                    <a:prstGeom prst="rect">
                                      <a:avLst/>
                                    </a:prstGeom>
                                    <a:solidFill>
                                      <a:schemeClr val="bg2">
                                        <a:lumMod val="20000"/>
                                        <a:lumOff val="80000"/>
                                      </a:schemeClr>
                                    </a:solidFill>
                                    <a:ln>
                                      <a:solidFill>
                                        <a:schemeClr val="bg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1071470" name="Zone de texte 2"/>
                                  <wps:cNvSpPr txBox="1">
                                    <a:spLocks noChangeArrowheads="1"/>
                                  </wps:cNvSpPr>
                                  <wps:spPr bwMode="auto">
                                    <a:xfrm>
                                      <a:off x="2360609" y="1071868"/>
                                      <a:ext cx="1010040" cy="761269"/>
                                    </a:xfrm>
                                    <a:prstGeom prst="rect">
                                      <a:avLst/>
                                    </a:prstGeom>
                                    <a:noFill/>
                                    <a:ln w="9525">
                                      <a:noFill/>
                                      <a:miter lim="800000"/>
                                      <a:headEnd/>
                                      <a:tailEnd/>
                                    </a:ln>
                                  </wps:spPr>
                                  <wps:txbx>
                                    <w:txbxContent>
                                      <w:p w14:paraId="4ECBD36E" w14:textId="77777777" w:rsidR="002F6239" w:rsidRPr="003428B2" w:rsidRDefault="002F6239" w:rsidP="002F6239">
                                        <w:pPr>
                                          <w:jc w:val="center"/>
                                          <w:rPr>
                                            <w:i/>
                                            <w:sz w:val="18"/>
                                            <w:szCs w:val="18"/>
                                          </w:rPr>
                                        </w:pPr>
                                        <w:r w:rsidRPr="003428B2">
                                          <w:rPr>
                                            <w:i/>
                                            <w:sz w:val="18"/>
                                            <w:szCs w:val="18"/>
                                          </w:rPr>
                                          <w:t>Poids de la neige et chutes de neige</w:t>
                                        </w:r>
                                      </w:p>
                                    </w:txbxContent>
                                  </wps:txbx>
                                  <wps:bodyPr rot="0" vert="horz" wrap="square" lIns="91440" tIns="45720" rIns="91440" bIns="45720" anchor="t" anchorCtr="0">
                                    <a:noAutofit/>
                                  </wps:bodyPr>
                                </wps:wsp>
                              </wpg:grpSp>
                              <pic:pic xmlns:pic="http://schemas.openxmlformats.org/drawingml/2006/picture">
                                <pic:nvPicPr>
                                  <pic:cNvPr id="1032676583" name="Image 1032676583"/>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1626967" y="986247"/>
                                    <a:ext cx="252325" cy="367618"/>
                                  </a:xfrm>
                                  <a:prstGeom prst="rect">
                                    <a:avLst/>
                                  </a:prstGeom>
                                </pic:spPr>
                              </pic:pic>
                            </wpg:grpSp>
                          </wpg:grpSp>
                          <wps:wsp>
                            <wps:cNvPr id="1033389308" name="Connecteur droit avec flèche 1033389308"/>
                            <wps:cNvCnPr/>
                            <wps:spPr>
                              <a:xfrm flipV="1">
                                <a:off x="4408066" y="1937336"/>
                                <a:ext cx="0" cy="306989"/>
                              </a:xfrm>
                              <a:prstGeom prst="straightConnector1">
                                <a:avLst/>
                              </a:prstGeom>
                              <a:ln>
                                <a:solidFill>
                                  <a:schemeClr val="tx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21022601" name="Connecteur droit avec flèche 1921022601"/>
                            <wps:cNvCnPr/>
                            <wps:spPr>
                              <a:xfrm flipV="1">
                                <a:off x="3054634" y="1926423"/>
                                <a:ext cx="0" cy="523781"/>
                              </a:xfrm>
                              <a:prstGeom prst="straightConnector1">
                                <a:avLst/>
                              </a:prstGeom>
                              <a:ln>
                                <a:solidFill>
                                  <a:schemeClr val="tx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91679786" name="Connecteur droit avec flèche 791679786"/>
                            <wps:cNvCnPr/>
                            <wps:spPr>
                              <a:xfrm flipH="1" flipV="1">
                                <a:off x="1761843" y="1890641"/>
                                <a:ext cx="19" cy="624168"/>
                              </a:xfrm>
                              <a:prstGeom prst="straightConnector1">
                                <a:avLst/>
                              </a:prstGeom>
                              <a:ln>
                                <a:solidFill>
                                  <a:schemeClr val="tx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wgp>
                  </a:graphicData>
                </a:graphic>
              </wp:inline>
            </w:drawing>
          </mc:Choice>
          <mc:Fallback>
            <w:pict>
              <v:group w14:anchorId="7F17FFBA" id="Groupe 1566062184" o:spid="_x0000_s1032" style="width:468.65pt;height:211.25pt;mso-position-horizontal-relative:char;mso-position-vertical-relative:line" coordorigin="3968,1207" coordsize="46307,31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">
                <v:shape id="Zone de texte 2" o:spid="_x0000_s1033" type="#_x0000_t202" style="position:absolute;left:7314;top:19279;width:7844;height:8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" filled="f" stroked="f">
                  <v:textbox>
                    <w:txbxContent>
                      <w:p w14:paraId="2A3EDCEB" w14:textId="77777777" w:rsidR="002F6239" w:rsidRPr="003428B2" w:rsidRDefault="002F6239" w:rsidP="002F6239">
                        <w:pPr>
                          <w:jc w:val="center"/>
                          <w:rPr>
                            <w:i/>
                            <w:sz w:val="18"/>
                            <w:szCs w:val="18"/>
                          </w:rPr>
                        </w:pPr>
                        <w:r w:rsidRPr="003428B2">
                          <w:rPr>
                            <w:i/>
                            <w:sz w:val="18"/>
                            <w:szCs w:val="18"/>
                          </w:rPr>
                          <w:t>Inondations et coulées de boue</w:t>
                        </w:r>
                      </w:p>
                    </w:txbxContent>
                  </v:textbox>
                </v:shape>
                <v:group id="Groupe 1945909807" o:spid="_x0000_s1034" style="position:absolute;left:3968;top:1207;width:46307;height:31736" coordorigin="3968,1207" coordsize="46307,3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">
                  <v:shape id="Zone de texte 2" o:spid="_x0000_s1035" type="#_x0000_t202" style="position:absolute;left:19032;top:19167;width:9470;height:5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" filled="f" stroked="f">
                    <v:textbox>
                      <w:txbxContent>
                        <w:p w14:paraId="48ADFC76" w14:textId="77777777" w:rsidR="002F6239" w:rsidRPr="003428B2" w:rsidRDefault="002F6239" w:rsidP="002F6239">
                          <w:pPr>
                            <w:jc w:val="center"/>
                            <w:rPr>
                              <w:i/>
                              <w:sz w:val="18"/>
                              <w:szCs w:val="18"/>
                            </w:rPr>
                          </w:pPr>
                          <w:r w:rsidRPr="003428B2">
                            <w:rPr>
                              <w:i/>
                              <w:sz w:val="18"/>
                              <w:szCs w:val="18"/>
                            </w:rPr>
                            <w:t>Mouvements de terrain</w:t>
                          </w:r>
                        </w:p>
                        <w:p w14:paraId="55BB1F15" w14:textId="77777777" w:rsidR="002F6239" w:rsidRPr="003428B2" w:rsidRDefault="002F6239" w:rsidP="002F6239">
                          <w:pPr>
                            <w:jc w:val="center"/>
                            <w:rPr>
                              <w:i/>
                              <w:sz w:val="18"/>
                              <w:szCs w:val="18"/>
                            </w:rPr>
                          </w:pPr>
                        </w:p>
                      </w:txbxContent>
                    </v:textbox>
                  </v:shape>
                  <v:shape id="Zone de texte 2" o:spid="_x0000_s1036" type="#_x0000_t202" style="position:absolute;left:24281;top:24710;width:12939;height:6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" filled="f" stroked="f">
                    <v:textbox>
                      <w:txbxContent>
                        <w:p w14:paraId="06A4537B" w14:textId="77777777" w:rsidR="002F6239" w:rsidRPr="003428B2" w:rsidRDefault="002F6239" w:rsidP="002F6239">
                          <w:pPr>
                            <w:jc w:val="center"/>
                            <w:rPr>
                              <w:i/>
                              <w:sz w:val="18"/>
                              <w:szCs w:val="18"/>
                            </w:rPr>
                          </w:pPr>
                          <w:r w:rsidRPr="003428B2">
                            <w:rPr>
                              <w:i/>
                              <w:sz w:val="18"/>
                              <w:szCs w:val="18"/>
                            </w:rPr>
                            <w:t>Inondations et chocs mécaniques liés à l'action des vagues</w:t>
                          </w:r>
                        </w:p>
                      </w:txbxContent>
                    </v:textbox>
                  </v:shape>
                  <v:group id="Groupe 891174838" o:spid="_x0000_s1037" style="position:absolute;left:3968;top:1207;width:46307;height:31736" coordorigin="3968,1207" coordsize="46307,3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">
                    <v:group id="Groupe 341343011" o:spid="_x0000_s1038" style="position:absolute;left:3968;top:1207;width:46307;height:31736" coordorigin="4444,1207" coordsize="46307,3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">
                      <v:shape id="Zone de texte 2" o:spid="_x0000_s1039" type="#_x0000_t202" style="position:absolute;left:-3122;top:8773;width:18065;height:29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" filled="f" stroked="f">
                        <v:textbox>
                          <w:txbxContent>
                            <w:p w14:paraId="692349E8" w14:textId="77777777" w:rsidR="002F6239" w:rsidRPr="003428B2" w:rsidRDefault="002F6239" w:rsidP="002F6239">
                              <w:pPr>
                                <w:rPr>
                                  <w:i/>
                                  <w:sz w:val="18"/>
                                  <w:szCs w:val="18"/>
                                </w:rPr>
                              </w:pPr>
                              <w:r w:rsidRPr="003428B2">
                                <w:rPr>
                                  <w:i/>
                                  <w:sz w:val="18"/>
                                  <w:szCs w:val="18"/>
                                </w:rPr>
                                <w:t>Importance du risque</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116127067" o:spid="_x0000_s1040" type="#_x0000_t13" style="position:absolute;left:-432;top:9049;width:16866;height:21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" adj="20209" fillcolor="#6b6868 [1615]" stroked="f" strokeweight="2pt">
                        <v:fill color2="#6b6868 [1615]" rotate="t" angle="270" colors="0 #b1b0b0;.5 #cfcece;1 #e7e7e7" focus="100%" type="gradient"/>
                      </v:shape>
                      <v:group id="Groupe 1370321080" o:spid="_x0000_s1041" style="position:absolute;left:9504;top:1702;width:41248;height:31241" coordorigin="9504,1131" coordsize="41247,3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">
                        <v:group id="Groupe 633865408" o:spid="_x0000_s1042" style="position:absolute;left:22324;top:11758;width:4077;height:6022" coordorigin="-12486,7198" coordsize="7162,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">
                          <v:rect id="Rectangle 432605636" o:spid="_x0000_s1043" style="position:absolute;left:-12486;top:12048;width:7162;height:1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" fillcolor="#dfdedd [669]" strokecolor="#dfdedd [669]"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84736006" o:spid="_x0000_s1044" type="#_x0000_t75" style="position:absolute;left:-12486;top:7198;width:6763;height:3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">
                            <v:imagedata r:id="rId49" o:title="" croptop="39957f" cropbottom="25f" cropleft="-1f" cropright="52f"/>
                          </v:shape>
                        </v:group>
                        <v:rect id="Rectangle 536600217" o:spid="_x0000_s1045" style="position:absolute;left:9504;top:6350;width:4108;height:1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" fillcolor="#a09c9b [1949]" strokecolor="#a09c9b [1949]" strokeweight="2pt"/>
                        <v:rect id="Rectangle 1658605468" o:spid="_x0000_s1046" style="position:absolute;left:28978;top:16561;width:4102;height:1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" fillcolor="#d9d8d8 [1310]" strokecolor="#d9d8d8 [1310]" strokeweight="2pt"/>
                        <v:group id="Groupe 948476127" o:spid="_x0000_s1047" style="position:absolute;left:10349;top:1131;width:11894;height:29959" coordorigin="-21280,-5470" coordsize="11898,2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">
                          <v:shape id="Image 1232497152" o:spid="_x0000_s1048" type="#_x0000_t75" style="position:absolute;left:-21280;top:-5470;width:2742;height:4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">
                            <v:imagedata r:id="rId50" o:title=""/>
                          </v:shape>
                          <v:shape id="Zone de texte 2" o:spid="_x0000_s1049" type="#_x0000_t202" style="position:absolute;left:-17668;top:17983;width:8287;height:6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" filled="f" stroked="f">
                            <v:textbox>
                              <w:txbxContent>
                                <w:p w14:paraId="09D73A47" w14:textId="77777777" w:rsidR="002F6239" w:rsidRPr="003428B2" w:rsidRDefault="002F6239" w:rsidP="002F6239">
                                  <w:pPr>
                                    <w:jc w:val="center"/>
                                    <w:rPr>
                                      <w:i/>
                                      <w:sz w:val="18"/>
                                      <w:szCs w:val="18"/>
                                    </w:rPr>
                                  </w:pPr>
                                  <w:r w:rsidRPr="003428B2">
                                    <w:rPr>
                                      <w:i/>
                                      <w:sz w:val="18"/>
                                      <w:szCs w:val="18"/>
                                    </w:rPr>
                                    <w:t>Tempêtes, vents violents</w:t>
                                  </w:r>
                                </w:p>
                              </w:txbxContent>
                            </v:textbox>
                          </v:shape>
                          <v:rect id="Rectangle 936566911" o:spid="_x0000_s1050" style="position:absolute;left:-15667;top:7612;width:4108;height:3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" fillcolor="#c0bdbc [1309]" strokecolor="#c0bdbc [1309]" strokeweight="2pt"/>
                        </v:group>
                        <v:group id="Groupe 1650974115" o:spid="_x0000_s1051" style="position:absolute;left:35738;top:16884;width:15014;height:15488" coordorigin="25976,18723" coordsize="16606,15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">
                          <v:rect id="Rectangle 273993698" o:spid="_x0000_s1052" style="position:absolute;left:25976;top:18723;width:4762;height: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" fillcolor="#ecebeb [670]" strokecolor="#ecebeb [670]" strokeweight="2pt"/>
                          <v:shape id="Zone de texte 2" o:spid="_x0000_s1053" type="#_x0000_t202" style="position:absolute;left:28850;top:24443;width:13732;height:9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" filled="f" stroked="f">
                            <v:textbox>
                              <w:txbxContent>
                                <w:p w14:paraId="20E365F9" w14:textId="77777777" w:rsidR="002F6239" w:rsidRPr="003428B2" w:rsidRDefault="002F6239" w:rsidP="002F6239">
                                  <w:pPr>
                                    <w:jc w:val="center"/>
                                    <w:rPr>
                                      <w:i/>
                                      <w:sz w:val="18"/>
                                      <w:szCs w:val="18"/>
                                    </w:rPr>
                                  </w:pPr>
                                  <w:r w:rsidRPr="003428B2">
                                    <w:rPr>
                                      <w:i/>
                                      <w:sz w:val="18"/>
                                      <w:szCs w:val="18"/>
                                    </w:rPr>
                                    <w:t>Eboulement, glissement et affaissement de terrain</w:t>
                                  </w:r>
                                </w:p>
                              </w:txbxContent>
                            </v:textbox>
                          </v:shape>
                        </v:group>
                        <v:group id="Groupe 1265461023" o:spid="_x0000_s1054" style="position:absolute;left:33501;top:16887;width:13295;height:9056" coordorigin="23606,9270" coordsize="15008,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">
                          <v:rect id="Rectangle 1135732394" o:spid="_x0000_s1055" style="position:absolute;left:33661;top:9270;width:4953;height: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" fillcolor="#ecebeb [670]" strokecolor="#ecebeb [670]" strokeweight="2pt"/>
                          <v:shape id="Zone de texte 2" o:spid="_x0000_s1056" type="#_x0000_t202" style="position:absolute;left:23606;top:10718;width:10100;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" filled="f" stroked="f">
                            <v:textbox>
                              <w:txbxContent>
                                <w:p w14:paraId="4ECBD36E" w14:textId="77777777" w:rsidR="002F6239" w:rsidRPr="003428B2" w:rsidRDefault="002F6239" w:rsidP="002F6239">
                                  <w:pPr>
                                    <w:jc w:val="center"/>
                                    <w:rPr>
                                      <w:i/>
                                      <w:sz w:val="18"/>
                                      <w:szCs w:val="18"/>
                                    </w:rPr>
                                  </w:pPr>
                                  <w:r w:rsidRPr="003428B2">
                                    <w:rPr>
                                      <w:i/>
                                      <w:sz w:val="18"/>
                                      <w:szCs w:val="18"/>
                                    </w:rPr>
                                    <w:t>Poids de la neige et chutes de neige</w:t>
                                  </w:r>
                                </w:p>
                              </w:txbxContent>
                            </v:textbox>
                          </v:shape>
                        </v:group>
                        <v:shape id="Image 1032676583" o:spid="_x0000_s1057" type="#_x0000_t75" style="position:absolute;left:16269;top:9862;width:2523;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">
                          <v:imagedata r:id="rId51" o:title=""/>
                        </v:shape>
                      </v:group>
                    </v:group>
                    <v:shapetype id="_x0000_t32" coordsize="21600,21600" o:spt="32" o:oned="t" path="m,l21600,21600e" filled="f">
                      <v:path arrowok="t" fillok="f" o:connecttype="none"/>
                      <o:lock v:ext="edit" shapetype="t"/>
                    </v:shapetype>
                    <v:shape id="Connecteur droit avec flèche 1033389308" o:spid="_x0000_s1058" type="#_x0000_t32" style="position:absolute;left:44080;top:19373;width:0;height:30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" strokecolor="#a09c9b [1949]">
                      <v:stroke endarrow="block"/>
                    </v:shape>
                    <v:shape id="Connecteur droit avec flèche 1921022601" o:spid="_x0000_s1059" type="#_x0000_t32" style="position:absolute;left:30546;top:19264;width:0;height:52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" strokecolor="#a09c9b [1949]">
                      <v:stroke endarrow="block"/>
                    </v:shape>
                    <v:shape id="Connecteur droit avec flèche 791679786" o:spid="_x0000_s1060" type="#_x0000_t32" style="position:absolute;left:17618;top:18906;width:0;height:624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" strokecolor="#a09c9b [1949]">
                      <v:stroke endarrow="block"/>
                    </v:shape>
                  </v:group>
                </v:group>
                <w10:anchorlock/>
              </v:group>
            </w:pict>
          </mc:Fallback>
        </mc:AlternateContent>
      </w:r>
    </w:p>
    <w:p w14:paraId="5BFDD210" w14:textId="1C6DEE41" w:rsidR="002F6239" w:rsidRPr="00AB6BCC" w:rsidRDefault="002F6239" w:rsidP="002F6239">
      <w:pPr>
        <w:pStyle w:val="QBO-Lgende"/>
        <w:rPr>
          <w:i/>
          <w:iCs/>
        </w:rPr>
      </w:pPr>
      <w:bookmarkStart w:id="17" w:name="_Toc166665749"/>
      <w:bookmarkStart w:id="18" w:name="_Toc118454441"/>
      <w:r w:rsidRPr="00AB6BCC">
        <w:t xml:space="preserve">Figure </w:t>
      </w:r>
      <w:r w:rsidR="005E669F">
        <w:fldChar w:fldCharType="begin"/>
      </w:r>
      <w:r w:rsidR="005E669F">
        <w:instrText xml:space="preserve"> SEQ Figure \* ARABIC </w:instrText>
      </w:r>
      <w:r w:rsidR="005E669F">
        <w:fldChar w:fldCharType="separate"/>
      </w:r>
      <w:r w:rsidR="007F7541">
        <w:rPr>
          <w:noProof/>
        </w:rPr>
        <w:t>6</w:t>
      </w:r>
      <w:r w:rsidR="005E669F">
        <w:rPr>
          <w:noProof/>
        </w:rPr>
        <w:fldChar w:fldCharType="end"/>
      </w:r>
      <w:r>
        <w:rPr>
          <w:noProof/>
        </w:rPr>
        <w:t> :</w:t>
      </w:r>
      <w:r>
        <w:t xml:space="preserve"> </w:t>
      </w:r>
      <w:r w:rsidRPr="00AB6BCC">
        <w:t>Exposition du territoire aux risques</w:t>
      </w:r>
      <w:r>
        <w:t xml:space="preserve"> en lien avec les r</w:t>
      </w:r>
      <w:r w:rsidRPr="007D7E28">
        <w:t>isques indiqué</w:t>
      </w:r>
      <w:r>
        <w:t>s</w:t>
      </w:r>
      <w:r w:rsidRPr="007D7E28">
        <w:t xml:space="preserve"> dans le document national</w:t>
      </w:r>
      <w:r>
        <w:t xml:space="preserve"> de juillet </w:t>
      </w:r>
      <w:r w:rsidRPr="007D7E28">
        <w:t xml:space="preserve">1982 à </w:t>
      </w:r>
      <w:r>
        <w:t>avril 2015</w:t>
      </w:r>
      <w:bookmarkEnd w:id="17"/>
    </w:p>
    <w:p w14:paraId="3370865B" w14:textId="77777777" w:rsidR="002F6239" w:rsidRPr="0063510D" w:rsidRDefault="002F6239" w:rsidP="002F6239">
      <w:pPr>
        <w:pStyle w:val="QBO-Sources"/>
      </w:pPr>
      <w:r w:rsidRPr="0063510D">
        <w:t>Source : ALTEREA</w:t>
      </w:r>
      <w:bookmarkEnd w:id="18"/>
    </w:p>
    <w:p w14:paraId="5FBD165B" w14:textId="5494B7CA" w:rsidR="009D5530" w:rsidRPr="00F93A91" w:rsidRDefault="007E57EC" w:rsidP="00055A7C">
      <w:pPr>
        <w:pStyle w:val="QBO-Texte"/>
      </w:pPr>
      <w:r w:rsidRPr="00F93A91">
        <w:t xml:space="preserve">Le </w:t>
      </w:r>
      <w:r w:rsidRPr="000B6BEF">
        <w:rPr>
          <w:b/>
          <w:bCs/>
        </w:rPr>
        <w:t>risque d’inondation</w:t>
      </w:r>
      <w:r w:rsidR="000B6BEF">
        <w:t xml:space="preserve"> (par débordement de rivière)</w:t>
      </w:r>
      <w:r w:rsidRPr="00F93A91">
        <w:t xml:space="preserve">, est considéré comme important. Pour cette raison, plusieurs documents ont été élaborés et ont identifiés des secteurs à risque majeur : il s’agit en particulier des « zones rouges » des Plans de Préventions du Risque Inondation (PPRI). Les évolutions </w:t>
      </w:r>
      <w:r w:rsidRPr="00F93A91">
        <w:lastRenderedPageBreak/>
        <w:t xml:space="preserve">climatiques pourraient jouer fortement sur ces risques, via l’intensification des phénomènes météorologiques (en particulier, l’augmentation des pluies en hiver). </w:t>
      </w:r>
    </w:p>
    <w:p w14:paraId="7DC8AB08" w14:textId="77777777" w:rsidR="002F6239" w:rsidRPr="00055A7C" w:rsidRDefault="002F6239" w:rsidP="00055A7C">
      <w:pPr>
        <w:pStyle w:val="QBO-Texte"/>
      </w:pPr>
      <w:r w:rsidRPr="00055A7C">
        <w:t>Le risque de submersion marine est localisé sur les 4 communes proches de l’Océan Atlantique.</w:t>
      </w:r>
    </w:p>
    <w:p w14:paraId="254A8B58" w14:textId="71FFE16B" w:rsidR="00F93A91" w:rsidRPr="00055A7C" w:rsidRDefault="007E57EC" w:rsidP="00055A7C">
      <w:pPr>
        <w:pStyle w:val="QBO-Texte"/>
      </w:pPr>
      <w:r w:rsidRPr="00055A7C">
        <w:t xml:space="preserve">Par ailleurs, </w:t>
      </w:r>
      <w:r w:rsidR="00F93A91" w:rsidRPr="00055A7C">
        <w:t>le territoire est fortement exposé au risque Radon. A noter, le risque au Radon est généralisé sur l’ensemble Armoricain et non une spécificité du territoire de Q</w:t>
      </w:r>
      <w:r w:rsidR="002F6239" w:rsidRPr="00055A7C">
        <w:t>uimper Bretagne Occidentale</w:t>
      </w:r>
      <w:r w:rsidR="00F93A91" w:rsidRPr="00055A7C">
        <w:t xml:space="preserve">. </w:t>
      </w:r>
    </w:p>
    <w:p w14:paraId="2CCB703F" w14:textId="77777777" w:rsidR="00F93A91" w:rsidRPr="00055A7C" w:rsidRDefault="00F93A91" w:rsidP="00055A7C">
      <w:pPr>
        <w:pStyle w:val="QBO-Texte"/>
      </w:pPr>
      <w:r w:rsidRPr="00055A7C">
        <w:t>Des risques de mouvement de terrain, de feux de forêt et de séisme sont également existants, même si leur ampleur reste mineure. De la même façon, l’augmentation de la fréquence et de la puissance des vagues de chaleur reste une menace même si le territoire y est moins exposé que le reste du pays. Une vigilance importante et la mise en place de plan d’actions et d’adaptation est nécessaire afin de prévenir et de réduire l’impact de ces événements.</w:t>
      </w:r>
    </w:p>
    <w:p w14:paraId="1789A224" w14:textId="0DA8FC12" w:rsidR="00F93A91" w:rsidRDefault="000B6BEF" w:rsidP="00055A7C">
      <w:pPr>
        <w:pStyle w:val="QBO-Texte"/>
      </w:pPr>
      <w:r>
        <w:t>En matière de risques technologiques, l</w:t>
      </w:r>
      <w:r w:rsidRPr="000B6BEF">
        <w:t xml:space="preserve">es risques technologiques du territoire résident principalement dans </w:t>
      </w:r>
      <w:r w:rsidRPr="000B6BEF">
        <w:rPr>
          <w:b/>
          <w:bCs/>
        </w:rPr>
        <w:t>les installations industrielles de type ICPE</w:t>
      </w:r>
      <w:r w:rsidRPr="000B6BEF">
        <w:t xml:space="preserve"> et notamment celle classée SEVESO (une sur le territoire) mais également dans le transport de matières dangereuses (routier et gazoduc). De nombreux sites et sols pollués sont également présents sur le territoire et peuvent être sources de nuisances ou de risques pour l’environnement et les citoyens.</w:t>
      </w:r>
    </w:p>
    <w:p w14:paraId="6B371970" w14:textId="64FB4B6E" w:rsidR="009D5530" w:rsidRPr="00F93A91" w:rsidRDefault="007E57EC" w:rsidP="00055A7C">
      <w:pPr>
        <w:pStyle w:val="QBO-Texte"/>
      </w:pPr>
      <w:r w:rsidRPr="00F93A91">
        <w:t>Les enjeux associés au profil Climat-Air-Énergie sont les enjeux centraux de la démarche de PCAET : l’atténuation du changement climatique par la baisse des consommations d’énergie et des émissions de GES ; l’adaptation au changement climatique par un aménagement plus résilient.</w:t>
      </w:r>
    </w:p>
    <w:p w14:paraId="3BD7D007" w14:textId="1D4E2CED" w:rsidR="009D5530" w:rsidRPr="00F93A91" w:rsidRDefault="007E57EC" w:rsidP="00055A7C">
      <w:pPr>
        <w:pStyle w:val="QBO-Texte"/>
      </w:pPr>
      <w:r w:rsidRPr="00F93A91">
        <w:t xml:space="preserve">Par ailleurs, des enjeux sociaux et économiques sous-jacents y sont associés : </w:t>
      </w:r>
      <w:r w:rsidR="000B6BEF">
        <w:t>une grande majorité</w:t>
      </w:r>
      <w:r w:rsidRPr="00F93A91">
        <w:t xml:space="preserve"> de l’énergie consommée localement est importée, et le territoire pourrait être de plus en plus dépendant pour son approvisionnement énergétique futur. Le développement des énergies renouvelables locales est ainsi un moyen d’investir dans l’emploi local tout en favorisant une baisse importante des émissions de GES par la substitution des énergies fossiles en priorité.</w:t>
      </w:r>
    </w:p>
    <w:p w14:paraId="04B88FE3" w14:textId="5B1E3598" w:rsidR="00122F47" w:rsidRPr="00055A7C" w:rsidRDefault="00122F47" w:rsidP="00055A7C">
      <w:pPr>
        <w:pStyle w:val="QBO-Texte"/>
      </w:pPr>
      <w:r w:rsidRPr="00055A7C">
        <w:t xml:space="preserve">Le vieillissement de la population représente le principal risque « humain » lié à l’évolution du climat, étant donné la vulnérabilité plus importante aux risques climatiques (sécheresse, canicule, etc.) des populations âgées. Par ailleurs, l’ensemble des infrastructures peut être impactée par les évolutions climatiques, en particulier par les sécheresses à répétition. L’approvisionnement en eau potable peut également être complexifié. </w:t>
      </w:r>
    </w:p>
    <w:p w14:paraId="031DF362" w14:textId="77777777" w:rsidR="00122F47" w:rsidRPr="00E1705D" w:rsidRDefault="00122F47">
      <w:pPr>
        <w:pStyle w:val="SGBDS-Normal"/>
        <w:rPr>
          <w:highlight w:val="yellow"/>
        </w:rPr>
      </w:pPr>
    </w:p>
    <w:p w14:paraId="61547D93" w14:textId="77777777" w:rsidR="009D5530" w:rsidRPr="004B2DFD" w:rsidRDefault="007E57EC" w:rsidP="00DC099E">
      <w:pPr>
        <w:pStyle w:val="SGBDS-Titre1"/>
      </w:pPr>
      <w:bookmarkStart w:id="19" w:name="_Toc179277395"/>
      <w:r w:rsidRPr="004B2DFD">
        <w:lastRenderedPageBreak/>
        <w:t>Articulation avec les autres plans et programmes</w:t>
      </w:r>
      <w:bookmarkEnd w:id="19"/>
    </w:p>
    <w:p w14:paraId="016252DD" w14:textId="209D33C8" w:rsidR="009D5530" w:rsidRPr="002F6239" w:rsidRDefault="007E57EC" w:rsidP="00055A7C">
      <w:pPr>
        <w:pStyle w:val="QBO-Texte"/>
      </w:pPr>
      <w:r w:rsidRPr="002F6239">
        <w:t xml:space="preserve">Le présent document expose les principaux documents de planification nationaux, régionaux et territoriaux avec lesquels le PCAET devra s’articuler pour lutter contre le changement climatique et pour conduire le territoire vers une transition énergétique et écologique : </w:t>
      </w:r>
    </w:p>
    <w:p w14:paraId="34118F53" w14:textId="49D83FDF" w:rsidR="009D5530" w:rsidRPr="004B2DFD" w:rsidRDefault="002F6239">
      <w:pPr>
        <w:rPr>
          <w:rFonts w:cs="Arial"/>
          <w:szCs w:val="20"/>
        </w:rPr>
      </w:pPr>
      <w:r w:rsidRPr="002F6239">
        <w:rPr>
          <w:noProof/>
          <w:sz w:val="24"/>
          <w:szCs w:val="28"/>
        </w:rPr>
        <mc:AlternateContent>
          <mc:Choice Requires="wps">
            <w:drawing>
              <wp:anchor distT="0" distB="0" distL="114300" distR="114300" simplePos="0" relativeHeight="252807168" behindDoc="0" locked="0" layoutInCell="1" allowOverlap="1" wp14:anchorId="7A418723" wp14:editId="4C7A14C1">
                <wp:simplePos x="0" y="0"/>
                <wp:positionH relativeFrom="column">
                  <wp:posOffset>3657186</wp:posOffset>
                </wp:positionH>
                <wp:positionV relativeFrom="paragraph">
                  <wp:posOffset>-1270</wp:posOffset>
                </wp:positionV>
                <wp:extent cx="242322" cy="242141"/>
                <wp:effectExtent l="0" t="0" r="0" b="0"/>
                <wp:wrapNone/>
                <wp:docPr id="1943146408" name="Ellipse 58"/>
                <wp:cNvGraphicFramePr/>
                <a:graphic xmlns:a="http://schemas.openxmlformats.org/drawingml/2006/main">
                  <a:graphicData uri="http://schemas.microsoft.com/office/word/2010/wordprocessingShape">
                    <wps:wsp>
                      <wps:cNvSpPr/>
                      <wps:spPr bwMode="auto">
                        <a:xfrm>
                          <a:off x="0" y="0"/>
                          <a:ext cx="242322" cy="242141"/>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oval w14:anchorId="67970D25" id="Ellipse 58" o:spid="_x0000_s1026" style="position:absolute;margin-left:287.95pt;margin-top:-.1pt;width:19.1pt;height:19.05pt;z-index:252807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" fillcolor="#f3c345 [3204]" stroked="f" strokeweight="2pt"/>
            </w:pict>
          </mc:Fallback>
        </mc:AlternateContent>
      </w:r>
      <w:r w:rsidRPr="002F6239">
        <w:rPr>
          <w:noProof/>
          <w:sz w:val="24"/>
          <w:szCs w:val="28"/>
        </w:rPr>
        <mc:AlternateContent>
          <mc:Choice Requires="wps">
            <w:drawing>
              <wp:anchor distT="0" distB="0" distL="114300" distR="114300" simplePos="0" relativeHeight="252805120" behindDoc="0" locked="0" layoutInCell="1" allowOverlap="1" wp14:anchorId="127237EA" wp14:editId="3EFCE740">
                <wp:simplePos x="0" y="0"/>
                <wp:positionH relativeFrom="column">
                  <wp:posOffset>481330</wp:posOffset>
                </wp:positionH>
                <wp:positionV relativeFrom="paragraph">
                  <wp:posOffset>635</wp:posOffset>
                </wp:positionV>
                <wp:extent cx="241935" cy="241935"/>
                <wp:effectExtent l="0" t="0" r="0" b="0"/>
                <wp:wrapNone/>
                <wp:docPr id="57" name="Ellipse 1"/>
                <wp:cNvGraphicFramePr/>
                <a:graphic xmlns:a="http://schemas.openxmlformats.org/drawingml/2006/main">
                  <a:graphicData uri="http://schemas.microsoft.com/office/word/2010/wordprocessingShape">
                    <wps:wsp>
                      <wps:cNvSpPr/>
                      <wps:spPr bwMode="auto">
                        <a:xfrm>
                          <a:off x="0" y="0"/>
                          <a:ext cx="241935" cy="241935"/>
                        </a:xfrm>
                        <a:prstGeom prst="ellipse">
                          <a:avLst/>
                        </a:prstGeom>
                        <a:solidFill>
                          <a:srgbClr val="E3A60F"/>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oval w14:anchorId="152741BD" id="Ellipse 1" o:spid="_x0000_s1026" style="position:absolute;margin-left:37.9pt;margin-top:.05pt;width:19.05pt;height:19.05pt;z-index:25280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" fillcolor="#e3a60f" stroked="f" strokeweight="2pt"/>
            </w:pict>
          </mc:Fallback>
        </mc:AlternateContent>
      </w:r>
      <w:r>
        <w:rPr>
          <w:rFonts w:cs="Arial"/>
          <w:noProof/>
          <w:szCs w:val="20"/>
        </w:rPr>
        <mc:AlternateContent>
          <mc:Choice Requires="wpg">
            <w:drawing>
              <wp:inline distT="0" distB="0" distL="0" distR="0" wp14:anchorId="70CE6D42" wp14:editId="5DD83817">
                <wp:extent cx="5804134" cy="1327868"/>
                <wp:effectExtent l="0" t="0" r="0" b="5715"/>
                <wp:docPr id="1802948231" name="Groupe 43"/>
                <wp:cNvGraphicFramePr/>
                <a:graphic xmlns:a="http://schemas.openxmlformats.org/drawingml/2006/main">
                  <a:graphicData uri="http://schemas.microsoft.com/office/word/2010/wordprocessingGroup">
                    <wpg:wgp>
                      <wpg:cNvGrpSpPr/>
                      <wpg:grpSpPr bwMode="auto">
                        <a:xfrm>
                          <a:off x="0" y="0"/>
                          <a:ext cx="5804134" cy="1327868"/>
                          <a:chOff x="265830" y="0"/>
                          <a:chExt cx="4140453" cy="1437337"/>
                        </a:xfrm>
                      </wpg:grpSpPr>
                      <wpg:grpSp>
                        <wpg:cNvPr id="1736929718" name="Groupe 1736929718"/>
                        <wpg:cNvGrpSpPr/>
                        <wpg:grpSpPr bwMode="auto">
                          <a:xfrm>
                            <a:off x="265830" y="261750"/>
                            <a:ext cx="4140453" cy="1175587"/>
                            <a:chOff x="265830" y="41617"/>
                            <a:chExt cx="4140453" cy="1175587"/>
                          </a:xfrm>
                        </wpg:grpSpPr>
                        <wps:wsp>
                          <wps:cNvPr id="2015033126" name="Zone de texte 2015033126"/>
                          <wps:cNvSpPr txBox="1"/>
                          <wps:spPr bwMode="auto">
                            <a:xfrm>
                              <a:off x="265830" y="41746"/>
                              <a:ext cx="2150463" cy="1175458"/>
                            </a:xfrm>
                            <a:prstGeom prst="rect">
                              <a:avLst/>
                            </a:prstGeom>
                            <a:noFill/>
                            <a:ln w="6350">
                              <a:noFill/>
                            </a:ln>
                          </wps:spPr>
                          <wps:txbx>
                            <w:txbxContent>
                              <w:p w14:paraId="4D540A99" w14:textId="77777777" w:rsidR="001A3274" w:rsidRDefault="001A3274" w:rsidP="007E57EC">
                                <w:pPr>
                                  <w:numPr>
                                    <w:ilvl w:val="0"/>
                                    <w:numId w:val="12"/>
                                  </w:numPr>
                                  <w:spacing w:after="0"/>
                                  <w:jc w:val="left"/>
                                  <w:rPr>
                                    <w:rFonts w:eastAsia="Calibri" w:cs="Times New Roman"/>
                                    <w:color w:val="787372"/>
                                    <w:sz w:val="17"/>
                                    <w:szCs w:val="17"/>
                                  </w:rPr>
                                </w:pPr>
                                <w:r>
                                  <w:rPr>
                                    <w:rFonts w:eastAsia="Calibri" w:cs="Times New Roman"/>
                                    <w:color w:val="787372" w:themeColor="text1" w:themeTint="D9"/>
                                    <w:sz w:val="17"/>
                                    <w:szCs w:val="17"/>
                                  </w:rPr>
                                  <w:t xml:space="preserve">Loi Energie Climat </w:t>
                                </w:r>
                              </w:p>
                              <w:p w14:paraId="2C275B90" w14:textId="77777777" w:rsidR="001A3274" w:rsidRDefault="001A3274" w:rsidP="007E57EC">
                                <w:pPr>
                                  <w:numPr>
                                    <w:ilvl w:val="0"/>
                                    <w:numId w:val="12"/>
                                  </w:numPr>
                                  <w:spacing w:after="0"/>
                                  <w:jc w:val="left"/>
                                  <w:rPr>
                                    <w:rFonts w:eastAsia="Calibri" w:cs="Times New Roman"/>
                                    <w:color w:val="787372"/>
                                    <w:sz w:val="17"/>
                                    <w:szCs w:val="17"/>
                                  </w:rPr>
                                </w:pPr>
                                <w:r>
                                  <w:rPr>
                                    <w:rFonts w:eastAsia="Calibri" w:cs="Times New Roman"/>
                                    <w:color w:val="787372" w:themeColor="text1" w:themeTint="D9"/>
                                    <w:sz w:val="17"/>
                                    <w:szCs w:val="17"/>
                                  </w:rPr>
                                  <w:t>Loi pour la Transition Energétique et la Croissance Verte – LTECV</w:t>
                                </w:r>
                              </w:p>
                              <w:p w14:paraId="7CF05DD4" w14:textId="77777777" w:rsidR="001A3274" w:rsidRDefault="001A3274" w:rsidP="007E57EC">
                                <w:pPr>
                                  <w:numPr>
                                    <w:ilvl w:val="0"/>
                                    <w:numId w:val="12"/>
                                  </w:numPr>
                                  <w:spacing w:after="0"/>
                                  <w:jc w:val="left"/>
                                  <w:rPr>
                                    <w:rFonts w:eastAsia="Calibri" w:cs="Times New Roman"/>
                                    <w:color w:val="787372"/>
                                    <w:sz w:val="17"/>
                                    <w:szCs w:val="17"/>
                                  </w:rPr>
                                </w:pPr>
                                <w:r>
                                  <w:rPr>
                                    <w:rFonts w:eastAsia="Calibri" w:cs="Times New Roman"/>
                                    <w:color w:val="787372" w:themeColor="text1" w:themeTint="D9"/>
                                    <w:sz w:val="17"/>
                                    <w:szCs w:val="17"/>
                                  </w:rPr>
                                  <w:t xml:space="preserve">Stratégie Nationale Bas-Carbone - SNBC </w:t>
                                </w:r>
                              </w:p>
                              <w:p w14:paraId="2C4C88E6" w14:textId="77777777" w:rsidR="001A3274" w:rsidRDefault="001A3274" w:rsidP="007E57EC">
                                <w:pPr>
                                  <w:numPr>
                                    <w:ilvl w:val="0"/>
                                    <w:numId w:val="12"/>
                                  </w:numPr>
                                  <w:spacing w:after="0"/>
                                  <w:jc w:val="left"/>
                                  <w:rPr>
                                    <w:rFonts w:eastAsia="Calibri" w:cs="Times New Roman"/>
                                    <w:color w:val="787372"/>
                                    <w:sz w:val="17"/>
                                    <w:szCs w:val="17"/>
                                  </w:rPr>
                                </w:pPr>
                                <w:r>
                                  <w:rPr>
                                    <w:rFonts w:eastAsia="Calibri" w:cs="Times New Roman"/>
                                    <w:color w:val="787372" w:themeColor="text1" w:themeTint="D9"/>
                                    <w:sz w:val="17"/>
                                    <w:szCs w:val="17"/>
                                  </w:rPr>
                                  <w:t>Programmation Pluriannuelle de l’Énergie (PPE)</w:t>
                                </w:r>
                              </w:p>
                              <w:p w14:paraId="0F2CB533" w14:textId="77777777" w:rsidR="001A3274" w:rsidRDefault="001A3274" w:rsidP="007E57EC">
                                <w:pPr>
                                  <w:numPr>
                                    <w:ilvl w:val="0"/>
                                    <w:numId w:val="12"/>
                                  </w:numPr>
                                  <w:spacing w:after="0"/>
                                  <w:jc w:val="left"/>
                                  <w:rPr>
                                    <w:rFonts w:eastAsia="Calibri" w:cs="Times New Roman"/>
                                    <w:color w:val="787372"/>
                                    <w:sz w:val="17"/>
                                    <w:szCs w:val="17"/>
                                  </w:rPr>
                                </w:pPr>
                                <w:r>
                                  <w:rPr>
                                    <w:rFonts w:eastAsia="Calibri" w:cs="Times New Roman"/>
                                    <w:color w:val="787372" w:themeColor="text1" w:themeTint="D9"/>
                                    <w:sz w:val="17"/>
                                    <w:szCs w:val="17"/>
                                  </w:rPr>
                                  <w:t>Plan National de Réduction des Polluants Atmosphériques (PREPA)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83558207" name="Zone de texte 683558207"/>
                          <wps:cNvSpPr txBox="1"/>
                          <wps:spPr bwMode="auto">
                            <a:xfrm>
                              <a:off x="2648095" y="41617"/>
                              <a:ext cx="1758188" cy="1072304"/>
                            </a:xfrm>
                            <a:prstGeom prst="rect">
                              <a:avLst/>
                            </a:prstGeom>
                            <a:noFill/>
                            <a:ln w="6350">
                              <a:noFill/>
                            </a:ln>
                          </wps:spPr>
                          <wps:txbx>
                            <w:txbxContent>
                              <w:p w14:paraId="64713737" w14:textId="044265D0" w:rsidR="001A3274" w:rsidRDefault="001A3274" w:rsidP="007E57EC">
                                <w:pPr>
                                  <w:numPr>
                                    <w:ilvl w:val="0"/>
                                    <w:numId w:val="12"/>
                                  </w:numPr>
                                  <w:spacing w:after="0"/>
                                  <w:jc w:val="left"/>
                                  <w:rPr>
                                    <w:rFonts w:eastAsia="Calibri" w:cs="Times New Roman"/>
                                    <w:color w:val="787372"/>
                                    <w:sz w:val="17"/>
                                    <w:szCs w:val="17"/>
                                  </w:rPr>
                                </w:pPr>
                                <w:r>
                                  <w:rPr>
                                    <w:rFonts w:eastAsia="Calibri" w:cs="Times New Roman"/>
                                    <w:color w:val="787372" w:themeColor="text1" w:themeTint="D9"/>
                                    <w:sz w:val="17"/>
                                    <w:szCs w:val="17"/>
                                  </w:rPr>
                                  <w:t xml:space="preserve">Schéma </w:t>
                                </w:r>
                                <w:r w:rsidR="004B2DFD">
                                  <w:rPr>
                                    <w:rFonts w:eastAsia="Calibri" w:cs="Times New Roman"/>
                                    <w:color w:val="787372" w:themeColor="text1" w:themeTint="D9"/>
                                    <w:sz w:val="17"/>
                                    <w:szCs w:val="17"/>
                                  </w:rPr>
                                  <w:t>Régional d’Aménagement, de Développement Durable et d’Egalité des Territoires (SRADDET) de Bretagne</w:t>
                                </w:r>
                              </w:p>
                              <w:p w14:paraId="6660307D" w14:textId="55831D56" w:rsidR="001A3274" w:rsidRDefault="001A3274" w:rsidP="004B2DFD">
                                <w:pPr>
                                  <w:spacing w:after="0"/>
                                  <w:ind w:left="360"/>
                                  <w:jc w:val="left"/>
                                  <w:rPr>
                                    <w:rFonts w:eastAsia="Calibri" w:cs="Times New Roman"/>
                                    <w:color w:val="787372"/>
                                    <w:sz w:val="17"/>
                                    <w:szCs w:val="17"/>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171161502" name="Zone de texte 1171161502"/>
                        <wps:cNvSpPr txBox="1"/>
                        <wps:spPr bwMode="auto">
                          <a:xfrm>
                            <a:off x="575311" y="0"/>
                            <a:ext cx="1262076" cy="220133"/>
                          </a:xfrm>
                          <a:prstGeom prst="rect">
                            <a:avLst/>
                          </a:prstGeom>
                          <a:noFill/>
                          <a:ln w="6350">
                            <a:noFill/>
                          </a:ln>
                        </wps:spPr>
                        <wps:txbx>
                          <w:txbxContent>
                            <w:p w14:paraId="5EC22A75" w14:textId="77777777" w:rsidR="001A3274" w:rsidRDefault="001A3274">
                              <w:pPr>
                                <w:spacing w:after="0"/>
                                <w:jc w:val="center"/>
                                <w:rPr>
                                  <w:rFonts w:eastAsia="Calibri" w:cs="Times New Roman"/>
                                  <w:b/>
                                  <w:caps/>
                                  <w:color w:val="787372"/>
                                  <w:sz w:val="17"/>
                                  <w:szCs w:val="17"/>
                                </w:rPr>
                              </w:pPr>
                              <w:r>
                                <w:rPr>
                                  <w:rFonts w:eastAsia="Calibri" w:cs="Times New Roman"/>
                                  <w:b/>
                                  <w:caps/>
                                  <w:color w:val="787372" w:themeColor="text1" w:themeTint="D9"/>
                                  <w:sz w:val="17"/>
                                  <w:szCs w:val="17"/>
                                </w:rPr>
                                <w:t>Cadre national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8907928" name="Zone de texte 558907928"/>
                        <wps:cNvSpPr txBox="1"/>
                        <wps:spPr bwMode="auto">
                          <a:xfrm>
                            <a:off x="2633134" y="0"/>
                            <a:ext cx="1693334" cy="220133"/>
                          </a:xfrm>
                          <a:prstGeom prst="rect">
                            <a:avLst/>
                          </a:prstGeom>
                          <a:noFill/>
                          <a:ln w="6350">
                            <a:noFill/>
                          </a:ln>
                        </wps:spPr>
                        <wps:txbx>
                          <w:txbxContent>
                            <w:p w14:paraId="10635045" w14:textId="77777777" w:rsidR="001A3274" w:rsidRDefault="001A3274">
                              <w:pPr>
                                <w:spacing w:after="0"/>
                                <w:jc w:val="center"/>
                                <w:rPr>
                                  <w:rFonts w:eastAsia="Calibri" w:cs="Times New Roman"/>
                                  <w:b/>
                                  <w:caps/>
                                  <w:color w:val="787372"/>
                                  <w:sz w:val="17"/>
                                  <w:szCs w:val="17"/>
                                </w:rPr>
                              </w:pPr>
                              <w:r>
                                <w:rPr>
                                  <w:rFonts w:eastAsia="Calibri" w:cs="Times New Roman"/>
                                  <w:b/>
                                  <w:caps/>
                                  <w:color w:val="787372" w:themeColor="text1" w:themeTint="D9"/>
                                  <w:sz w:val="17"/>
                                  <w:szCs w:val="17"/>
                                </w:rPr>
                                <w:t>Cadre Régional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0CE6D42" id="Groupe 43" o:spid="_x0000_s1061" style="width:457pt;height:104.55pt;mso-position-horizontal-relative:char;mso-position-vertical-relative:line" coordorigin="2658" coordsize="41404,14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">
                <v:group id="Groupe 1736929718" o:spid="_x0000_s1062" style="position:absolute;left:2658;top:2617;width:41404;height:11756" coordorigin="2658,416" coordsize="41404,1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">
                  <v:shape id="Zone de texte 2015033126" o:spid="_x0000_s1063" type="#_x0000_t202" style="position:absolute;left:2658;top:417;width:21504;height:1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" filled="f" stroked="f" strokeweight=".5pt">
                    <v:textbox>
                      <w:txbxContent>
                        <w:p w14:paraId="4D540A99" w14:textId="77777777" w:rsidR="001A3274" w:rsidRDefault="001A3274" w:rsidP="007E57EC">
                          <w:pPr>
                            <w:numPr>
                              <w:ilvl w:val="0"/>
                              <w:numId w:val="12"/>
                            </w:numPr>
                            <w:spacing w:after="0"/>
                            <w:jc w:val="left"/>
                            <w:rPr>
                              <w:rFonts w:eastAsia="Calibri" w:cs="Times New Roman"/>
                              <w:color w:val="787372"/>
                              <w:sz w:val="17"/>
                              <w:szCs w:val="17"/>
                            </w:rPr>
                          </w:pPr>
                          <w:r>
                            <w:rPr>
                              <w:rFonts w:eastAsia="Calibri" w:cs="Times New Roman"/>
                              <w:color w:val="787372" w:themeColor="text1" w:themeTint="D9"/>
                              <w:sz w:val="17"/>
                              <w:szCs w:val="17"/>
                            </w:rPr>
                            <w:t xml:space="preserve">Loi Energie Climat </w:t>
                          </w:r>
                        </w:p>
                        <w:p w14:paraId="2C275B90" w14:textId="77777777" w:rsidR="001A3274" w:rsidRDefault="001A3274" w:rsidP="007E57EC">
                          <w:pPr>
                            <w:numPr>
                              <w:ilvl w:val="0"/>
                              <w:numId w:val="12"/>
                            </w:numPr>
                            <w:spacing w:after="0"/>
                            <w:jc w:val="left"/>
                            <w:rPr>
                              <w:rFonts w:eastAsia="Calibri" w:cs="Times New Roman"/>
                              <w:color w:val="787372"/>
                              <w:sz w:val="17"/>
                              <w:szCs w:val="17"/>
                            </w:rPr>
                          </w:pPr>
                          <w:r>
                            <w:rPr>
                              <w:rFonts w:eastAsia="Calibri" w:cs="Times New Roman"/>
                              <w:color w:val="787372" w:themeColor="text1" w:themeTint="D9"/>
                              <w:sz w:val="17"/>
                              <w:szCs w:val="17"/>
                            </w:rPr>
                            <w:t>Loi pour la Transition Energétique et la Croissance Verte – LTECV</w:t>
                          </w:r>
                        </w:p>
                        <w:p w14:paraId="7CF05DD4" w14:textId="77777777" w:rsidR="001A3274" w:rsidRDefault="001A3274" w:rsidP="007E57EC">
                          <w:pPr>
                            <w:numPr>
                              <w:ilvl w:val="0"/>
                              <w:numId w:val="12"/>
                            </w:numPr>
                            <w:spacing w:after="0"/>
                            <w:jc w:val="left"/>
                            <w:rPr>
                              <w:rFonts w:eastAsia="Calibri" w:cs="Times New Roman"/>
                              <w:color w:val="787372"/>
                              <w:sz w:val="17"/>
                              <w:szCs w:val="17"/>
                            </w:rPr>
                          </w:pPr>
                          <w:r>
                            <w:rPr>
                              <w:rFonts w:eastAsia="Calibri" w:cs="Times New Roman"/>
                              <w:color w:val="787372" w:themeColor="text1" w:themeTint="D9"/>
                              <w:sz w:val="17"/>
                              <w:szCs w:val="17"/>
                            </w:rPr>
                            <w:t xml:space="preserve">Stratégie Nationale Bas-Carbone - SNBC </w:t>
                          </w:r>
                        </w:p>
                        <w:p w14:paraId="2C4C88E6" w14:textId="77777777" w:rsidR="001A3274" w:rsidRDefault="001A3274" w:rsidP="007E57EC">
                          <w:pPr>
                            <w:numPr>
                              <w:ilvl w:val="0"/>
                              <w:numId w:val="12"/>
                            </w:numPr>
                            <w:spacing w:after="0"/>
                            <w:jc w:val="left"/>
                            <w:rPr>
                              <w:rFonts w:eastAsia="Calibri" w:cs="Times New Roman"/>
                              <w:color w:val="787372"/>
                              <w:sz w:val="17"/>
                              <w:szCs w:val="17"/>
                            </w:rPr>
                          </w:pPr>
                          <w:r>
                            <w:rPr>
                              <w:rFonts w:eastAsia="Calibri" w:cs="Times New Roman"/>
                              <w:color w:val="787372" w:themeColor="text1" w:themeTint="D9"/>
                              <w:sz w:val="17"/>
                              <w:szCs w:val="17"/>
                            </w:rPr>
                            <w:t>Programmation Pluriannuelle de l’Énergie (PPE)</w:t>
                          </w:r>
                        </w:p>
                        <w:p w14:paraId="0F2CB533" w14:textId="77777777" w:rsidR="001A3274" w:rsidRDefault="001A3274" w:rsidP="007E57EC">
                          <w:pPr>
                            <w:numPr>
                              <w:ilvl w:val="0"/>
                              <w:numId w:val="12"/>
                            </w:numPr>
                            <w:spacing w:after="0"/>
                            <w:jc w:val="left"/>
                            <w:rPr>
                              <w:rFonts w:eastAsia="Calibri" w:cs="Times New Roman"/>
                              <w:color w:val="787372"/>
                              <w:sz w:val="17"/>
                              <w:szCs w:val="17"/>
                            </w:rPr>
                          </w:pPr>
                          <w:r>
                            <w:rPr>
                              <w:rFonts w:eastAsia="Calibri" w:cs="Times New Roman"/>
                              <w:color w:val="787372" w:themeColor="text1" w:themeTint="D9"/>
                              <w:sz w:val="17"/>
                              <w:szCs w:val="17"/>
                            </w:rPr>
                            <w:t>Plan National de Réduction des Polluants Atmosphériques (PREPA)</w:t>
                          </w:r>
                        </w:p>
                      </w:txbxContent>
                    </v:textbox>
                  </v:shape>
                  <v:shape id="Zone de texte 683558207" o:spid="_x0000_s1064" type="#_x0000_t202" style="position:absolute;left:26480;top:416;width:17582;height:10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" filled="f" stroked="f" strokeweight=".5pt">
                    <v:textbox>
                      <w:txbxContent>
                        <w:p w14:paraId="64713737" w14:textId="044265D0" w:rsidR="001A3274" w:rsidRDefault="001A3274" w:rsidP="007E57EC">
                          <w:pPr>
                            <w:numPr>
                              <w:ilvl w:val="0"/>
                              <w:numId w:val="12"/>
                            </w:numPr>
                            <w:spacing w:after="0"/>
                            <w:jc w:val="left"/>
                            <w:rPr>
                              <w:rFonts w:eastAsia="Calibri" w:cs="Times New Roman"/>
                              <w:color w:val="787372"/>
                              <w:sz w:val="17"/>
                              <w:szCs w:val="17"/>
                            </w:rPr>
                          </w:pPr>
                          <w:r>
                            <w:rPr>
                              <w:rFonts w:eastAsia="Calibri" w:cs="Times New Roman"/>
                              <w:color w:val="787372" w:themeColor="text1" w:themeTint="D9"/>
                              <w:sz w:val="17"/>
                              <w:szCs w:val="17"/>
                            </w:rPr>
                            <w:t xml:space="preserve">Schéma </w:t>
                          </w:r>
                          <w:r w:rsidR="004B2DFD">
                            <w:rPr>
                              <w:rFonts w:eastAsia="Calibri" w:cs="Times New Roman"/>
                              <w:color w:val="787372" w:themeColor="text1" w:themeTint="D9"/>
                              <w:sz w:val="17"/>
                              <w:szCs w:val="17"/>
                            </w:rPr>
                            <w:t>Régional d’Aménagement, de Développement Durable et d’Egalité des Territoires (SRADDET) de Bretagne</w:t>
                          </w:r>
                        </w:p>
                        <w:p w14:paraId="6660307D" w14:textId="55831D56" w:rsidR="001A3274" w:rsidRDefault="001A3274" w:rsidP="004B2DFD">
                          <w:pPr>
                            <w:spacing w:after="0"/>
                            <w:ind w:left="360"/>
                            <w:jc w:val="left"/>
                            <w:rPr>
                              <w:rFonts w:eastAsia="Calibri" w:cs="Times New Roman"/>
                              <w:color w:val="787372"/>
                              <w:sz w:val="17"/>
                              <w:szCs w:val="17"/>
                            </w:rPr>
                          </w:pPr>
                        </w:p>
                      </w:txbxContent>
                    </v:textbox>
                  </v:shape>
                </v:group>
                <v:shape id="Zone de texte 1171161502" o:spid="_x0000_s1065" type="#_x0000_t202" style="position:absolute;left:5753;width:12620;height:2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" filled="f" stroked="f" strokeweight=".5pt">
                  <v:textbox>
                    <w:txbxContent>
                      <w:p w14:paraId="5EC22A75" w14:textId="77777777" w:rsidR="001A3274" w:rsidRDefault="001A3274">
                        <w:pPr>
                          <w:spacing w:after="0"/>
                          <w:jc w:val="center"/>
                          <w:rPr>
                            <w:rFonts w:eastAsia="Calibri" w:cs="Times New Roman"/>
                            <w:b/>
                            <w:caps/>
                            <w:color w:val="787372"/>
                            <w:sz w:val="17"/>
                            <w:szCs w:val="17"/>
                          </w:rPr>
                        </w:pPr>
                        <w:r>
                          <w:rPr>
                            <w:rFonts w:eastAsia="Calibri" w:cs="Times New Roman"/>
                            <w:b/>
                            <w:caps/>
                            <w:color w:val="787372" w:themeColor="text1" w:themeTint="D9"/>
                            <w:sz w:val="17"/>
                            <w:szCs w:val="17"/>
                          </w:rPr>
                          <w:t>Cadre national</w:t>
                        </w:r>
                      </w:p>
                    </w:txbxContent>
                  </v:textbox>
                </v:shape>
                <v:shape id="Zone de texte 558907928" o:spid="_x0000_s1066" type="#_x0000_t202" style="position:absolute;left:26331;width:16933;height:2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" filled="f" stroked="f" strokeweight=".5pt">
                  <v:textbox>
                    <w:txbxContent>
                      <w:p w14:paraId="10635045" w14:textId="77777777" w:rsidR="001A3274" w:rsidRDefault="001A3274">
                        <w:pPr>
                          <w:spacing w:after="0"/>
                          <w:jc w:val="center"/>
                          <w:rPr>
                            <w:rFonts w:eastAsia="Calibri" w:cs="Times New Roman"/>
                            <w:b/>
                            <w:caps/>
                            <w:color w:val="787372"/>
                            <w:sz w:val="17"/>
                            <w:szCs w:val="17"/>
                          </w:rPr>
                        </w:pPr>
                        <w:r>
                          <w:rPr>
                            <w:rFonts w:eastAsia="Calibri" w:cs="Times New Roman"/>
                            <w:b/>
                            <w:caps/>
                            <w:color w:val="787372" w:themeColor="text1" w:themeTint="D9"/>
                            <w:sz w:val="17"/>
                            <w:szCs w:val="17"/>
                          </w:rPr>
                          <w:t>Cadre Régional</w:t>
                        </w:r>
                      </w:p>
                    </w:txbxContent>
                  </v:textbox>
                </v:shape>
                <w10:anchorlock/>
              </v:group>
            </w:pict>
          </mc:Fallback>
        </mc:AlternateContent>
      </w:r>
    </w:p>
    <w:p w14:paraId="20B42EFC" w14:textId="77777777" w:rsidR="009D5530" w:rsidRPr="004B2DFD" w:rsidRDefault="007E57EC" w:rsidP="00C30AB9">
      <w:pPr>
        <w:pStyle w:val="Titre2ALTEREA2018"/>
      </w:pPr>
      <w:bookmarkStart w:id="20" w:name="_Toc98841687"/>
      <w:bookmarkStart w:id="21" w:name="_Toc179277396"/>
      <w:r w:rsidRPr="004B2DFD">
        <w:t>L’articulation avec les documents cadres nationaux</w:t>
      </w:r>
      <w:bookmarkEnd w:id="20"/>
      <w:bookmarkEnd w:id="21"/>
      <w:r w:rsidRPr="004B2DFD">
        <w:t xml:space="preserve"> </w:t>
      </w:r>
    </w:p>
    <w:p w14:paraId="3B7B31A2" w14:textId="77777777" w:rsidR="009D5530" w:rsidRPr="002F6239" w:rsidRDefault="007E57EC" w:rsidP="002F6239">
      <w:pPr>
        <w:pStyle w:val="Titre3"/>
        <w:rPr>
          <w:rStyle w:val="Titre3Car"/>
        </w:rPr>
      </w:pPr>
      <w:bookmarkStart w:id="22" w:name="_Toc98841688"/>
      <w:bookmarkStart w:id="23" w:name="_Toc179277397"/>
      <w:r w:rsidRPr="004B2DFD">
        <w:t>Rappel du cadre national</w:t>
      </w:r>
      <w:bookmarkEnd w:id="22"/>
      <w:bookmarkEnd w:id="23"/>
      <w:r w:rsidRPr="004B2DFD">
        <w:t xml:space="preserve"> </w:t>
      </w:r>
    </w:p>
    <w:p w14:paraId="002BD8E7" w14:textId="0AD0F227" w:rsidR="009D5530" w:rsidRPr="006D75C2" w:rsidRDefault="007E57EC" w:rsidP="00055A7C">
      <w:pPr>
        <w:pStyle w:val="QBO-Texte"/>
      </w:pPr>
      <w:r w:rsidRPr="006D75C2">
        <w:t xml:space="preserve">Après la loi de Programmation fixant les Orientations de la Politique Énergétique (POPE) de 2005 et les lois Grenelle de 2009 et 2010, la </w:t>
      </w:r>
      <w:r w:rsidRPr="006D75C2">
        <w:rPr>
          <w:b/>
          <w:bCs/>
        </w:rPr>
        <w:t>Loi de Transition Energétique pour la Croissance Verte</w:t>
      </w:r>
      <w:r w:rsidRPr="006D75C2">
        <w:rPr>
          <w:b/>
        </w:rPr>
        <w:t xml:space="preserve"> </w:t>
      </w:r>
      <w:r w:rsidRPr="006D75C2">
        <w:t xml:space="preserve">(LTECV) d’août 2015 intègre des objectifs précis à l’horizon 2030 et 2050, par rapport à la référence 2012. Elle définit ainsi les grands objectifs nationaux en termes de consommations énergétiques et d'émissions </w:t>
      </w:r>
      <w:r w:rsidR="006D75C2" w:rsidRPr="006D75C2">
        <w:t xml:space="preserve">de </w:t>
      </w:r>
      <w:r w:rsidR="006D75C2">
        <w:t>gaz à effet de serre</w:t>
      </w:r>
      <w:r w:rsidR="006D75C2" w:rsidRPr="006D75C2">
        <w:t xml:space="preserve"> </w:t>
      </w:r>
      <w:r w:rsidRPr="006D75C2">
        <w:t>à ces différentes échéances. Elle institue également la Stratégie Nationale Bas Carbone (SNBC) et la Programmation Pluriannuelle de l'Énergie (PPE), et impose que les PCAET soient élaborés à l'échelle intercommunale.</w:t>
      </w:r>
    </w:p>
    <w:p w14:paraId="2D2CC4D3" w14:textId="344A31E1" w:rsidR="009D5530" w:rsidRPr="006D75C2" w:rsidRDefault="007E57EC" w:rsidP="00055A7C">
      <w:pPr>
        <w:pStyle w:val="QBO-Texte"/>
      </w:pPr>
      <w:r w:rsidRPr="006D75C2">
        <w:t xml:space="preserve">Les objectifs fixés par la LTECV ont été modifiés par la promulgation le 10 novembre 2019 de la Loi « </w:t>
      </w:r>
      <w:r w:rsidRPr="006D75C2">
        <w:rPr>
          <w:b/>
          <w:bCs/>
        </w:rPr>
        <w:t>Energie-Climat</w:t>
      </w:r>
      <w:r w:rsidRPr="006D75C2">
        <w:t xml:space="preserve"> ». Cette loi renforce les objectifs en termes de diminution des émissions </w:t>
      </w:r>
      <w:r w:rsidR="006D75C2" w:rsidRPr="006D75C2">
        <w:t xml:space="preserve">de </w:t>
      </w:r>
      <w:r w:rsidR="006D75C2">
        <w:t>gaz à effet de serre</w:t>
      </w:r>
      <w:r w:rsidR="006D75C2" w:rsidRPr="006D75C2">
        <w:t xml:space="preserve"> </w:t>
      </w:r>
      <w:r w:rsidRPr="006D75C2">
        <w:t xml:space="preserve">et définit comme objectif complémentaire l’atteinte de la </w:t>
      </w:r>
      <w:r w:rsidRPr="006D75C2">
        <w:rPr>
          <w:b/>
        </w:rPr>
        <w:t>neutralité carbone</w:t>
      </w:r>
      <w:r w:rsidRPr="006D75C2">
        <w:t xml:space="preserve"> en 2050 à l’échelle nationale (compensation par la séquestration carbone au moins équivalente aux émissions résiduelles). </w:t>
      </w:r>
    </w:p>
    <w:p w14:paraId="2987A141" w14:textId="77777777" w:rsidR="009D5530" w:rsidRPr="006D75C2" w:rsidRDefault="007E57EC" w:rsidP="00055A7C">
      <w:pPr>
        <w:pStyle w:val="QBO-Texte"/>
      </w:pPr>
      <w:r w:rsidRPr="006D75C2">
        <w:t xml:space="preserve">La </w:t>
      </w:r>
      <w:r w:rsidRPr="006D75C2">
        <w:rPr>
          <w:b/>
          <w:bCs/>
        </w:rPr>
        <w:t>Stratégie Nationale Bas Carbone</w:t>
      </w:r>
      <w:r w:rsidRPr="006D75C2">
        <w:t xml:space="preserve"> (</w:t>
      </w:r>
      <w:r w:rsidRPr="006D75C2">
        <w:rPr>
          <w:bCs/>
        </w:rPr>
        <w:t>SNBC)</w:t>
      </w:r>
      <w:r w:rsidRPr="006D75C2">
        <w:t xml:space="preserve"> a été instituée par le décret n° 2015-1491 du 18 novembre 2015, faisant suite à la LTECV. Elle est chargée de fixer par période les objectifs sectoriels de réduction des émissions de GES (« Budget Carbone »).</w:t>
      </w:r>
    </w:p>
    <w:p w14:paraId="5342113B" w14:textId="77777777" w:rsidR="009D5530" w:rsidRPr="006D75C2" w:rsidRDefault="007E57EC" w:rsidP="00055A7C">
      <w:pPr>
        <w:pStyle w:val="QBO-Texte"/>
      </w:pPr>
      <w:r w:rsidRPr="006D75C2">
        <w:t xml:space="preserve">La </w:t>
      </w:r>
      <w:r w:rsidRPr="006D75C2">
        <w:rPr>
          <w:b/>
        </w:rPr>
        <w:t>Programmation Pluriannuelle de l’Énergie</w:t>
      </w:r>
      <w:r w:rsidRPr="006D75C2">
        <w:t xml:space="preserve"> (PPE) est, pour sa part, l’outil de pilotage de la politique énergétique, et exprime les orientations et priorités d’action des pouvoirs publics pour la gestion de l’ensemble des formes d’énergie sur le territoire métropolitain continental, afin d’atteindre les objectifs de la LTECV. La programmation pluriannuelle de l’énergie couvre, en principe, deux périodes successives de cinq ans. Par exception, la première programmation publiée en octobre 2016, couvrait deux périodes successives de respectivement trois et cinq ans, soit 2016-2018 et 2019-2023. La nouvelle PPE, portant sur la période 2023-2028, a été adoptée par le décret n° 2020-456 du 21 avril 2020 relatif à la programmation pluriannuelle de l'énergie. Ce décret modifie également de manière substantielle la PPE 2019-2023.</w:t>
      </w:r>
    </w:p>
    <w:p w14:paraId="289BDD60" w14:textId="77777777" w:rsidR="009D5530" w:rsidRPr="006D75C2" w:rsidRDefault="007E57EC" w:rsidP="00055A7C">
      <w:pPr>
        <w:pStyle w:val="QBO-Texte"/>
      </w:pPr>
      <w:r w:rsidRPr="006D75C2">
        <w:t xml:space="preserve">Le </w:t>
      </w:r>
      <w:r w:rsidRPr="006D75C2">
        <w:rPr>
          <w:b/>
          <w:bCs/>
        </w:rPr>
        <w:t xml:space="preserve">Plan National de Réduction des Polluants Atmosphériques </w:t>
      </w:r>
      <w:r w:rsidRPr="006D75C2">
        <w:rPr>
          <w:bCs/>
        </w:rPr>
        <w:t>(PREPA)</w:t>
      </w:r>
      <w:r w:rsidRPr="006D75C2">
        <w:t>, institué par la LTECV (article 64), en application de la Convention internationale sur la pollution atmosphérique transfrontière à longue distance et de son protocole de Göteborg révisé en 2012, et de la directive 21016/2284/UE du 14 décembre 2016. Publié en 2016, pour la période d’application 2017-2021, le PREPA définit ainsi, à l’échelle nationale, les mesures permettant d’atteindre les objectifs de qualité de l’air fixé à l’échéance 2020 et horizon 2030.</w:t>
      </w:r>
    </w:p>
    <w:p w14:paraId="7E8876A6" w14:textId="77777777" w:rsidR="009D5530" w:rsidRPr="006D75C2" w:rsidRDefault="007E57EC" w:rsidP="00055A7C">
      <w:pPr>
        <w:pStyle w:val="QBO-Texte"/>
        <w:rPr>
          <w:rFonts w:cs="Arial"/>
        </w:rPr>
      </w:pPr>
      <w:r w:rsidRPr="006D75C2">
        <w:rPr>
          <w:rFonts w:cs="Arial"/>
        </w:rPr>
        <w:lastRenderedPageBreak/>
        <w:t>Ces documents sont venus compléter le cadre législatif encadrant l’élaboration des PCAET. Les articles L229-26 et R229-51 du Code de l’Environnement ont ainsi évolué pour affiner les objectifs comme la structure des PCAET.</w:t>
      </w:r>
    </w:p>
    <w:p w14:paraId="543CC925" w14:textId="77777777" w:rsidR="009D5530" w:rsidRPr="006D75C2" w:rsidRDefault="007E57EC" w:rsidP="00055A7C">
      <w:pPr>
        <w:pStyle w:val="QBO-Texte"/>
      </w:pPr>
      <w:r w:rsidRPr="006D75C2">
        <w:rPr>
          <w:rFonts w:cs="Arial"/>
        </w:rPr>
        <w:t>Pour rappel, les objectifs nationaux sont les suivants </w:t>
      </w:r>
      <w:r w:rsidRPr="006D75C2">
        <w:t xml:space="preserve">: </w:t>
      </w:r>
    </w:p>
    <w:p w14:paraId="7F0298F0" w14:textId="77777777" w:rsidR="006D75C2" w:rsidRPr="00B50DC6" w:rsidRDefault="006D75C2" w:rsidP="006D75C2">
      <w:pPr>
        <w:pStyle w:val="QBO-Puces1"/>
        <w:numPr>
          <w:ilvl w:val="0"/>
          <w:numId w:val="16"/>
        </w:numPr>
      </w:pPr>
      <w:r w:rsidRPr="00B50DC6">
        <w:t xml:space="preserve">Une </w:t>
      </w:r>
      <w:r w:rsidRPr="004A2E37">
        <w:rPr>
          <w:b/>
          <w:bCs/>
        </w:rPr>
        <w:t>réduction de 40% des émissions de gaz à effet de serre</w:t>
      </w:r>
      <w:r w:rsidRPr="00B50DC6">
        <w:t xml:space="preserve"> d’ici 2030 par rapport à 1990, et d</w:t>
      </w:r>
      <w:r>
        <w:t>’</w:t>
      </w:r>
      <w:r w:rsidRPr="00B50DC6">
        <w:t>e</w:t>
      </w:r>
      <w:r>
        <w:t>nviron</w:t>
      </w:r>
      <w:r w:rsidRPr="00B50DC6">
        <w:t xml:space="preserve"> 8</w:t>
      </w:r>
      <w:r>
        <w:t>5</w:t>
      </w:r>
      <w:r w:rsidRPr="00B50DC6">
        <w:t>% à l’horizon 2050 (facteur 6)</w:t>
      </w:r>
      <w:r>
        <w:t xml:space="preserve">. Concrètement, cela suppose de réduire les émissions de la France à </w:t>
      </w:r>
      <w:r w:rsidRPr="004A2E37">
        <w:rPr>
          <w:b/>
          <w:bCs/>
        </w:rPr>
        <w:t>80 MtCO</w:t>
      </w:r>
      <w:r w:rsidRPr="004A2E37">
        <w:rPr>
          <w:b/>
          <w:bCs/>
          <w:vertAlign w:val="subscript"/>
        </w:rPr>
        <w:t>2</w:t>
      </w:r>
      <w:r w:rsidRPr="004A2E37">
        <w:rPr>
          <w:b/>
          <w:bCs/>
        </w:rPr>
        <w:t>e</w:t>
      </w:r>
      <w:r w:rsidRPr="00B50DC6">
        <w:t> </w:t>
      </w:r>
      <w:r>
        <w:t xml:space="preserve">à l’horizon 2050 </w:t>
      </w:r>
      <w:r w:rsidRPr="00B50DC6">
        <w:t>;</w:t>
      </w:r>
    </w:p>
    <w:p w14:paraId="21B23D8E" w14:textId="77777777" w:rsidR="006D75C2" w:rsidRDefault="006D75C2" w:rsidP="006D75C2">
      <w:pPr>
        <w:pStyle w:val="QBO-Puces1"/>
        <w:numPr>
          <w:ilvl w:val="0"/>
          <w:numId w:val="16"/>
        </w:numPr>
      </w:pPr>
      <w:r w:rsidRPr="00B50DC6">
        <w:t xml:space="preserve">Une </w:t>
      </w:r>
      <w:r w:rsidRPr="004A2E37">
        <w:rPr>
          <w:b/>
          <w:bCs/>
        </w:rPr>
        <w:t>réduction de 50% des consommations énergétiques</w:t>
      </w:r>
      <w:r w:rsidRPr="00FC6FB0">
        <w:t xml:space="preserve"> à l’horizon 2050</w:t>
      </w:r>
      <w:r w:rsidRPr="00B50DC6">
        <w:t xml:space="preserve"> par rapport à 2012 ;</w:t>
      </w:r>
    </w:p>
    <w:p w14:paraId="4DF0288F" w14:textId="77777777" w:rsidR="006D75C2" w:rsidRPr="00B50DC6" w:rsidRDefault="006D75C2" w:rsidP="006D75C2">
      <w:pPr>
        <w:pStyle w:val="QBO-Puces1"/>
        <w:numPr>
          <w:ilvl w:val="0"/>
          <w:numId w:val="16"/>
        </w:numPr>
      </w:pPr>
      <w:r>
        <w:t xml:space="preserve">Une </w:t>
      </w:r>
      <w:r w:rsidRPr="004A2E37">
        <w:rPr>
          <w:b/>
          <w:bCs/>
        </w:rPr>
        <w:t>réduction de 40% de la consommation d’énergies fossiles</w:t>
      </w:r>
      <w:r>
        <w:t xml:space="preserve"> à l’horizon 2030 par rapport à 2012 ;</w:t>
      </w:r>
    </w:p>
    <w:p w14:paraId="4855EB6E" w14:textId="78ECF12A" w:rsidR="009D5530" w:rsidRPr="006D75C2" w:rsidRDefault="006D75C2" w:rsidP="006D75C2">
      <w:pPr>
        <w:pStyle w:val="QBO-Puces1"/>
        <w:numPr>
          <w:ilvl w:val="0"/>
          <w:numId w:val="16"/>
        </w:numPr>
        <w:spacing w:after="240"/>
      </w:pPr>
      <w:r w:rsidRPr="00B50DC6">
        <w:t xml:space="preserve">Une part de </w:t>
      </w:r>
      <w:r w:rsidRPr="004A2E37">
        <w:rPr>
          <w:b/>
          <w:bCs/>
        </w:rPr>
        <w:t>33% des énergies renouvelables dans la consommation énergétique finale</w:t>
      </w:r>
      <w:r w:rsidRPr="00B50DC6">
        <w:t xml:space="preserve"> en 2030</w:t>
      </w:r>
      <w:r w:rsidR="007E57EC" w:rsidRPr="006D75C2">
        <w:rPr>
          <w:szCs w:val="24"/>
        </w:rPr>
        <w:t>.</w:t>
      </w:r>
    </w:p>
    <w:p w14:paraId="2335BF71" w14:textId="77777777" w:rsidR="009D5530" w:rsidRPr="006D75C2" w:rsidRDefault="007E57EC" w:rsidP="006D75C2">
      <w:pPr>
        <w:pStyle w:val="Titre3"/>
      </w:pPr>
      <w:bookmarkStart w:id="24" w:name="_Toc98841689"/>
      <w:bookmarkStart w:id="25" w:name="_Toc179277398"/>
      <w:r w:rsidRPr="006D75C2">
        <w:t>Déclinaison dans le PCAET</w:t>
      </w:r>
      <w:bookmarkEnd w:id="24"/>
      <w:bookmarkEnd w:id="25"/>
      <w:r w:rsidRPr="006D75C2">
        <w:t xml:space="preserve"> </w:t>
      </w:r>
    </w:p>
    <w:p w14:paraId="79AEA096" w14:textId="50235318" w:rsidR="004B2DFD" w:rsidRPr="006D75C2" w:rsidRDefault="009928D4" w:rsidP="00055A7C">
      <w:pPr>
        <w:pStyle w:val="QBO-Texte"/>
      </w:pPr>
      <w:r w:rsidRPr="009928D4">
        <w:t>Les objectifs fixés au sein de la stratégie du PCAET de Quimper Bretagne Occidentale sont globalement compatibles avec les objectifs nationaux. La collectivité s’est en effet attachée à viser des objectifs atteignables et réalistes, tout en étant en lien avec les caractéristiques de son territoire.</w:t>
      </w:r>
    </w:p>
    <w:p w14:paraId="327C974E" w14:textId="252C8541" w:rsidR="009D5530" w:rsidRPr="006D75C2" w:rsidRDefault="007E57EC" w:rsidP="00055A7C">
      <w:pPr>
        <w:pStyle w:val="QBO-Texte"/>
      </w:pPr>
      <w:r w:rsidRPr="006D75C2">
        <w:t xml:space="preserve">En matière de consommations d’énergie, l’objectif du PCAET, d’une </w:t>
      </w:r>
      <w:r w:rsidR="009928D4" w:rsidRPr="009928D4">
        <w:rPr>
          <w:b/>
          <w:bCs/>
        </w:rPr>
        <w:t>baisse</w:t>
      </w:r>
      <w:r w:rsidRPr="009928D4">
        <w:rPr>
          <w:b/>
          <w:bCs/>
        </w:rPr>
        <w:t xml:space="preserve"> projetée de </w:t>
      </w:r>
      <w:r w:rsidR="009928D4" w:rsidRPr="009928D4">
        <w:rPr>
          <w:b/>
          <w:bCs/>
        </w:rPr>
        <w:t>50</w:t>
      </w:r>
      <w:r w:rsidRPr="009928D4">
        <w:rPr>
          <w:b/>
          <w:bCs/>
        </w:rPr>
        <w:t>% des consommations énergétiques entre 201</w:t>
      </w:r>
      <w:r w:rsidR="004B2DFD" w:rsidRPr="009928D4">
        <w:rPr>
          <w:b/>
          <w:bCs/>
        </w:rPr>
        <w:t>8</w:t>
      </w:r>
      <w:r w:rsidRPr="009928D4">
        <w:rPr>
          <w:b/>
          <w:bCs/>
        </w:rPr>
        <w:t xml:space="preserve"> et </w:t>
      </w:r>
      <w:r w:rsidRPr="00137A70">
        <w:rPr>
          <w:b/>
          <w:bCs/>
        </w:rPr>
        <w:t xml:space="preserve">2050, </w:t>
      </w:r>
      <w:r w:rsidR="004B2DFD" w:rsidRPr="00137A70">
        <w:rPr>
          <w:b/>
          <w:bCs/>
        </w:rPr>
        <w:t>permet d’atteindre l’objectif national</w:t>
      </w:r>
      <w:r w:rsidRPr="006D75C2">
        <w:t xml:space="preserve"> fixé à -</w:t>
      </w:r>
      <w:r w:rsidR="00137A70">
        <w:t>49</w:t>
      </w:r>
      <w:r w:rsidRPr="006D75C2">
        <w:t>% entre 201</w:t>
      </w:r>
      <w:r w:rsidR="00137A70">
        <w:t>8</w:t>
      </w:r>
      <w:r w:rsidRPr="006D75C2">
        <w:t xml:space="preserve"> et 2050</w:t>
      </w:r>
      <w:r w:rsidR="004B2DFD" w:rsidRPr="006D75C2">
        <w:t>.</w:t>
      </w:r>
    </w:p>
    <w:p w14:paraId="20F71CCF" w14:textId="77777777" w:rsidR="009928D4" w:rsidRDefault="009928D4" w:rsidP="009928D4">
      <w:pPr>
        <w:pStyle w:val="QBO-Texte"/>
        <w:spacing w:before="240" w:after="0"/>
        <w:jc w:val="center"/>
        <w:rPr>
          <w:highlight w:val="yellow"/>
        </w:rPr>
      </w:pPr>
      <w:r>
        <w:rPr>
          <w:noProof/>
        </w:rPr>
        <w:drawing>
          <wp:inline distT="0" distB="0" distL="0" distR="0" wp14:anchorId="0FFE3809" wp14:editId="24FCC499">
            <wp:extent cx="5823585" cy="3275937"/>
            <wp:effectExtent l="0" t="0" r="5715" b="1270"/>
            <wp:docPr id="1762421131" name="Graphique 1">
              <a:extLst xmlns:a="http://schemas.openxmlformats.org/drawingml/2006/main">
                <a:ext uri="{FF2B5EF4-FFF2-40B4-BE49-F238E27FC236}">
                  <a16:creationId xmlns:a16="http://schemas.microsoft.com/office/drawing/2014/main" id="{82C265F8-C0E4-ABA5-18BD-4D793F500A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318FBC1" w14:textId="290C6393" w:rsidR="009928D4" w:rsidRPr="009928D4" w:rsidRDefault="009928D4" w:rsidP="009928D4">
      <w:pPr>
        <w:pStyle w:val="lgende0"/>
        <w:spacing w:after="0"/>
        <w:rPr>
          <w:rFonts w:asciiTheme="minorHAnsi" w:hAnsiTheme="minorHAnsi"/>
          <w:b/>
          <w:i w:val="0"/>
          <w:iCs/>
          <w:color w:val="F3C345"/>
          <w:kern w:val="2"/>
          <w:sz w:val="18"/>
          <w:szCs w:val="18"/>
          <w:u w:val="none"/>
          <w:lang w:eastAsia="en-US"/>
          <w14:ligatures w14:val="standardContextual"/>
        </w:rPr>
      </w:pPr>
      <w:r w:rsidRPr="009928D4">
        <w:rPr>
          <w:rFonts w:asciiTheme="minorHAnsi" w:hAnsiTheme="minorHAnsi"/>
          <w:b/>
          <w:i w:val="0"/>
          <w:iCs/>
          <w:color w:val="F3C345"/>
          <w:kern w:val="2"/>
          <w:sz w:val="18"/>
          <w:szCs w:val="18"/>
          <w:u w:val="none"/>
          <w:lang w:eastAsia="en-US"/>
          <w14:ligatures w14:val="standardContextual"/>
        </w:rPr>
        <w:t xml:space="preserve">Figure </w:t>
      </w:r>
      <w:r w:rsidRPr="009928D4">
        <w:rPr>
          <w:rFonts w:asciiTheme="minorHAnsi" w:hAnsiTheme="minorHAnsi"/>
          <w:b/>
          <w:i w:val="0"/>
          <w:iCs/>
          <w:color w:val="F3C345"/>
          <w:kern w:val="2"/>
          <w:sz w:val="18"/>
          <w:szCs w:val="18"/>
          <w:u w:val="none"/>
          <w:lang w:eastAsia="en-US"/>
          <w14:ligatures w14:val="standardContextual"/>
        </w:rPr>
        <w:fldChar w:fldCharType="begin"/>
      </w:r>
      <w:r w:rsidRPr="009928D4">
        <w:rPr>
          <w:rFonts w:asciiTheme="minorHAnsi" w:hAnsiTheme="minorHAnsi"/>
          <w:b/>
          <w:i w:val="0"/>
          <w:iCs/>
          <w:color w:val="F3C345"/>
          <w:kern w:val="2"/>
          <w:sz w:val="18"/>
          <w:szCs w:val="18"/>
          <w:u w:val="none"/>
          <w:lang w:eastAsia="en-US"/>
          <w14:ligatures w14:val="standardContextual"/>
        </w:rPr>
        <w:instrText xml:space="preserve"> SEQ Figure \* ARABIC </w:instrText>
      </w:r>
      <w:r w:rsidRPr="009928D4">
        <w:rPr>
          <w:rFonts w:asciiTheme="minorHAnsi" w:hAnsiTheme="minorHAnsi"/>
          <w:b/>
          <w:i w:val="0"/>
          <w:iCs/>
          <w:color w:val="F3C345"/>
          <w:kern w:val="2"/>
          <w:sz w:val="18"/>
          <w:szCs w:val="18"/>
          <w:u w:val="none"/>
          <w:lang w:eastAsia="en-US"/>
          <w14:ligatures w14:val="standardContextual"/>
        </w:rPr>
        <w:fldChar w:fldCharType="separate"/>
      </w:r>
      <w:r w:rsidR="007F7541">
        <w:rPr>
          <w:rFonts w:asciiTheme="minorHAnsi" w:hAnsiTheme="minorHAnsi"/>
          <w:b/>
          <w:i w:val="0"/>
          <w:iCs/>
          <w:noProof/>
          <w:color w:val="F3C345"/>
          <w:kern w:val="2"/>
          <w:sz w:val="18"/>
          <w:szCs w:val="18"/>
          <w:u w:val="none"/>
          <w:lang w:eastAsia="en-US"/>
          <w14:ligatures w14:val="standardContextual"/>
        </w:rPr>
        <w:t>7</w:t>
      </w:r>
      <w:r w:rsidRPr="009928D4">
        <w:rPr>
          <w:rFonts w:asciiTheme="minorHAnsi" w:hAnsiTheme="minorHAnsi"/>
          <w:b/>
          <w:i w:val="0"/>
          <w:iCs/>
          <w:color w:val="F3C345"/>
          <w:kern w:val="2"/>
          <w:sz w:val="18"/>
          <w:szCs w:val="18"/>
          <w:u w:val="none"/>
          <w:lang w:eastAsia="en-US"/>
          <w14:ligatures w14:val="standardContextual"/>
        </w:rPr>
        <w:fldChar w:fldCharType="end"/>
      </w:r>
      <w:r w:rsidRPr="009928D4">
        <w:rPr>
          <w:rFonts w:asciiTheme="minorHAnsi" w:hAnsiTheme="minorHAnsi"/>
          <w:b/>
          <w:i w:val="0"/>
          <w:iCs/>
          <w:color w:val="F3C345"/>
          <w:kern w:val="2"/>
          <w:sz w:val="18"/>
          <w:szCs w:val="18"/>
          <w:u w:val="none"/>
          <w:lang w:eastAsia="en-US"/>
          <w14:ligatures w14:val="standardContextual"/>
        </w:rPr>
        <w:t> : Evolution de la consommation en énergie finale de 2018 à 2050</w:t>
      </w:r>
    </w:p>
    <w:p w14:paraId="307EEAB0" w14:textId="77777777" w:rsidR="009928D4" w:rsidRPr="009928D4" w:rsidRDefault="009928D4" w:rsidP="009928D4">
      <w:pPr>
        <w:pStyle w:val="Lgende"/>
        <w:spacing w:before="0" w:after="240"/>
        <w:rPr>
          <w:rFonts w:asciiTheme="minorHAnsi" w:hAnsiTheme="minorHAnsi"/>
          <w:b w:val="0"/>
          <w:color w:val="A29F9F" w:themeColor="background2"/>
          <w:kern w:val="2"/>
          <w:sz w:val="16"/>
          <w:u w:val="single"/>
          <w:lang w:eastAsia="en-US"/>
          <w14:ligatures w14:val="standardContextual"/>
        </w:rPr>
      </w:pPr>
      <w:r w:rsidRPr="009928D4">
        <w:rPr>
          <w:rFonts w:asciiTheme="minorHAnsi" w:hAnsiTheme="minorHAnsi"/>
          <w:b w:val="0"/>
          <w:color w:val="A29F9F" w:themeColor="background2"/>
          <w:kern w:val="2"/>
          <w:sz w:val="16"/>
          <w:u w:val="single"/>
          <w:lang w:eastAsia="en-US"/>
          <w14:ligatures w14:val="standardContextual"/>
        </w:rPr>
        <w:t>Source : TerriSTORY®, ALTEREA</w:t>
      </w:r>
    </w:p>
    <w:p w14:paraId="70C56865" w14:textId="1DBBCDA8" w:rsidR="009D5530" w:rsidRPr="009928D4" w:rsidRDefault="007E57EC" w:rsidP="00055A7C">
      <w:pPr>
        <w:pStyle w:val="QBO-Texte"/>
      </w:pPr>
      <w:r w:rsidRPr="009928D4">
        <w:t xml:space="preserve">Concernant les émissions de </w:t>
      </w:r>
      <w:r w:rsidR="009928D4" w:rsidRPr="009928D4">
        <w:t>gaz à effet de serre</w:t>
      </w:r>
      <w:r w:rsidRPr="009928D4">
        <w:t xml:space="preserve">, le PCAET fixe une </w:t>
      </w:r>
      <w:r w:rsidRPr="009928D4">
        <w:rPr>
          <w:b/>
          <w:bCs/>
        </w:rPr>
        <w:t xml:space="preserve">réduction de </w:t>
      </w:r>
      <w:r w:rsidR="009928D4" w:rsidRPr="009928D4">
        <w:rPr>
          <w:b/>
          <w:bCs/>
        </w:rPr>
        <w:t>71</w:t>
      </w:r>
      <w:r w:rsidRPr="009928D4">
        <w:rPr>
          <w:b/>
          <w:bCs/>
        </w:rPr>
        <w:t>% de</w:t>
      </w:r>
      <w:r w:rsidR="009928D4" w:rsidRPr="009928D4">
        <w:rPr>
          <w:b/>
          <w:bCs/>
        </w:rPr>
        <w:t>s émissions</w:t>
      </w:r>
      <w:r w:rsidRPr="009928D4">
        <w:rPr>
          <w:b/>
          <w:bCs/>
        </w:rPr>
        <w:t xml:space="preserve"> entre 201</w:t>
      </w:r>
      <w:r w:rsidR="001B1E8E" w:rsidRPr="009928D4">
        <w:rPr>
          <w:b/>
          <w:bCs/>
        </w:rPr>
        <w:t>8</w:t>
      </w:r>
      <w:r w:rsidRPr="009928D4">
        <w:rPr>
          <w:b/>
          <w:bCs/>
        </w:rPr>
        <w:t xml:space="preserve"> et 2050</w:t>
      </w:r>
      <w:r w:rsidRPr="009928D4">
        <w:t>. L’objectif national est fixé en comparaison à 1990 ; en l’évaluant entre 201</w:t>
      </w:r>
      <w:r w:rsidR="001B1E8E" w:rsidRPr="009928D4">
        <w:t>8</w:t>
      </w:r>
      <w:r w:rsidRPr="009928D4">
        <w:t xml:space="preserve"> et 2050, ce dernier représente une réduction de </w:t>
      </w:r>
      <w:r w:rsidR="00137A70">
        <w:t>82</w:t>
      </w:r>
      <w:r w:rsidRPr="009928D4">
        <w:t xml:space="preserve">%. Au regard de ces éléments, </w:t>
      </w:r>
      <w:r w:rsidRPr="00137A70">
        <w:rPr>
          <w:b/>
          <w:bCs/>
        </w:rPr>
        <w:t xml:space="preserve">l’objectif fixé au sein de la stratégie du PCAET </w:t>
      </w:r>
      <w:r w:rsidR="001B1E8E" w:rsidRPr="00137A70">
        <w:rPr>
          <w:b/>
          <w:bCs/>
        </w:rPr>
        <w:t>est inférieur à l’objectif national</w:t>
      </w:r>
      <w:r w:rsidRPr="009928D4">
        <w:t xml:space="preserve"> (fixés à -8</w:t>
      </w:r>
      <w:r w:rsidR="009928D4">
        <w:t>5</w:t>
      </w:r>
      <w:r w:rsidRPr="009928D4">
        <w:t>% entre 1990 et 2050).</w:t>
      </w:r>
      <w:r w:rsidR="001B1E8E" w:rsidRPr="009928D4">
        <w:t xml:space="preserve"> </w:t>
      </w:r>
    </w:p>
    <w:p w14:paraId="36E52B5A" w14:textId="77777777" w:rsidR="009928D4" w:rsidRPr="00AE4F9F" w:rsidRDefault="009928D4" w:rsidP="009928D4">
      <w:pPr>
        <w:spacing w:before="120"/>
        <w:jc w:val="center"/>
        <w:rPr>
          <w:rFonts w:cstheme="minorHAnsi"/>
        </w:rPr>
      </w:pPr>
      <w:r>
        <w:rPr>
          <w:noProof/>
        </w:rPr>
        <w:lastRenderedPageBreak/>
        <w:drawing>
          <wp:inline distT="0" distB="0" distL="0" distR="0" wp14:anchorId="502C061F" wp14:editId="1CBD385A">
            <wp:extent cx="5897190" cy="3538220"/>
            <wp:effectExtent l="0" t="0" r="8890" b="5080"/>
            <wp:docPr id="1049755172" name="Graphique 1">
              <a:extLst xmlns:a="http://schemas.openxmlformats.org/drawingml/2006/main">
                <a:ext uri="{FF2B5EF4-FFF2-40B4-BE49-F238E27FC236}">
                  <a16:creationId xmlns:a16="http://schemas.microsoft.com/office/drawing/2014/main" id="{994731F7-A0A3-4A9B-91D4-0E2919C9E8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0BCE80D" w14:textId="6E473011" w:rsidR="009928D4" w:rsidRPr="009928D4" w:rsidRDefault="009928D4" w:rsidP="009928D4">
      <w:pPr>
        <w:pStyle w:val="lgende0"/>
        <w:spacing w:after="0"/>
        <w:rPr>
          <w:rFonts w:asciiTheme="minorHAnsi" w:hAnsiTheme="minorHAnsi"/>
          <w:b/>
          <w:i w:val="0"/>
          <w:iCs/>
          <w:color w:val="F3C345"/>
          <w:kern w:val="2"/>
          <w:sz w:val="18"/>
          <w:szCs w:val="18"/>
          <w:u w:val="none"/>
          <w:lang w:eastAsia="en-US"/>
          <w14:ligatures w14:val="standardContextual"/>
        </w:rPr>
      </w:pPr>
      <w:r w:rsidRPr="009928D4">
        <w:rPr>
          <w:rFonts w:asciiTheme="minorHAnsi" w:hAnsiTheme="minorHAnsi"/>
          <w:b/>
          <w:i w:val="0"/>
          <w:iCs/>
          <w:color w:val="F3C345"/>
          <w:kern w:val="2"/>
          <w:sz w:val="18"/>
          <w:szCs w:val="18"/>
          <w:u w:val="none"/>
          <w:lang w:eastAsia="en-US"/>
          <w14:ligatures w14:val="standardContextual"/>
        </w:rPr>
        <w:t xml:space="preserve">Figure </w:t>
      </w:r>
      <w:r w:rsidRPr="009928D4">
        <w:rPr>
          <w:rFonts w:asciiTheme="minorHAnsi" w:hAnsiTheme="minorHAnsi"/>
          <w:b/>
          <w:i w:val="0"/>
          <w:iCs/>
          <w:color w:val="F3C345"/>
          <w:kern w:val="2"/>
          <w:sz w:val="18"/>
          <w:szCs w:val="18"/>
          <w:u w:val="none"/>
          <w:lang w:eastAsia="en-US"/>
          <w14:ligatures w14:val="standardContextual"/>
        </w:rPr>
        <w:fldChar w:fldCharType="begin"/>
      </w:r>
      <w:r w:rsidRPr="009928D4">
        <w:rPr>
          <w:rFonts w:asciiTheme="minorHAnsi" w:hAnsiTheme="minorHAnsi"/>
          <w:b/>
          <w:i w:val="0"/>
          <w:iCs/>
          <w:color w:val="F3C345"/>
          <w:kern w:val="2"/>
          <w:sz w:val="18"/>
          <w:szCs w:val="18"/>
          <w:u w:val="none"/>
          <w:lang w:eastAsia="en-US"/>
          <w14:ligatures w14:val="standardContextual"/>
        </w:rPr>
        <w:instrText xml:space="preserve"> SEQ Figure \* ARABIC </w:instrText>
      </w:r>
      <w:r w:rsidRPr="009928D4">
        <w:rPr>
          <w:rFonts w:asciiTheme="minorHAnsi" w:hAnsiTheme="minorHAnsi"/>
          <w:b/>
          <w:i w:val="0"/>
          <w:iCs/>
          <w:color w:val="F3C345"/>
          <w:kern w:val="2"/>
          <w:sz w:val="18"/>
          <w:szCs w:val="18"/>
          <w:u w:val="none"/>
          <w:lang w:eastAsia="en-US"/>
          <w14:ligatures w14:val="standardContextual"/>
        </w:rPr>
        <w:fldChar w:fldCharType="separate"/>
      </w:r>
      <w:r w:rsidR="007F7541">
        <w:rPr>
          <w:rFonts w:asciiTheme="minorHAnsi" w:hAnsiTheme="minorHAnsi"/>
          <w:b/>
          <w:i w:val="0"/>
          <w:iCs/>
          <w:noProof/>
          <w:color w:val="F3C345"/>
          <w:kern w:val="2"/>
          <w:sz w:val="18"/>
          <w:szCs w:val="18"/>
          <w:u w:val="none"/>
          <w:lang w:eastAsia="en-US"/>
          <w14:ligatures w14:val="standardContextual"/>
        </w:rPr>
        <w:t>8</w:t>
      </w:r>
      <w:r w:rsidRPr="009928D4">
        <w:rPr>
          <w:rFonts w:asciiTheme="minorHAnsi" w:hAnsiTheme="minorHAnsi"/>
          <w:b/>
          <w:i w:val="0"/>
          <w:iCs/>
          <w:color w:val="F3C345"/>
          <w:kern w:val="2"/>
          <w:sz w:val="18"/>
          <w:szCs w:val="18"/>
          <w:u w:val="none"/>
          <w:lang w:eastAsia="en-US"/>
          <w14:ligatures w14:val="standardContextual"/>
        </w:rPr>
        <w:fldChar w:fldCharType="end"/>
      </w:r>
      <w:r w:rsidRPr="009928D4">
        <w:rPr>
          <w:rFonts w:asciiTheme="minorHAnsi" w:hAnsiTheme="minorHAnsi"/>
          <w:b/>
          <w:i w:val="0"/>
          <w:iCs/>
          <w:color w:val="F3C345"/>
          <w:kern w:val="2"/>
          <w:sz w:val="18"/>
          <w:szCs w:val="18"/>
          <w:u w:val="none"/>
          <w:lang w:eastAsia="en-US"/>
          <w14:ligatures w14:val="standardContextual"/>
        </w:rPr>
        <w:t> : Evolution des émissions de gaz à effet de serre de 2018 à 2050</w:t>
      </w:r>
    </w:p>
    <w:p w14:paraId="3A1EF1B9" w14:textId="77777777" w:rsidR="009928D4" w:rsidRPr="00204579" w:rsidRDefault="009928D4" w:rsidP="00055A7C">
      <w:pPr>
        <w:pStyle w:val="QBO-Sources"/>
        <w:rPr>
          <w:b/>
        </w:rPr>
      </w:pPr>
      <w:r w:rsidRPr="00204579">
        <w:t>Source : TerriSTORY</w:t>
      </w:r>
      <w:r w:rsidRPr="0090658B">
        <w:rPr>
          <w:vertAlign w:val="superscript"/>
        </w:rPr>
        <w:t>®</w:t>
      </w:r>
      <w:r w:rsidRPr="00204579">
        <w:t xml:space="preserve">, ALTEREA, Agreste, </w:t>
      </w:r>
      <w:proofErr w:type="spellStart"/>
      <w:r w:rsidRPr="00204579">
        <w:t>Ominea</w:t>
      </w:r>
      <w:proofErr w:type="spellEnd"/>
      <w:r w:rsidRPr="00204579">
        <w:t xml:space="preserve">, </w:t>
      </w:r>
      <w:proofErr w:type="spellStart"/>
      <w:r w:rsidRPr="00204579">
        <w:t>Citepa</w:t>
      </w:r>
      <w:proofErr w:type="spellEnd"/>
      <w:r w:rsidRPr="00204579">
        <w:t>, programme Territoire Econome en Ressource, Base Carbone®</w:t>
      </w:r>
    </w:p>
    <w:p w14:paraId="01570E61" w14:textId="77777777" w:rsidR="009928D4" w:rsidRPr="0026767D" w:rsidRDefault="009928D4" w:rsidP="00BF1071">
      <w:pPr>
        <w:pStyle w:val="QBO-Texte"/>
        <w:rPr>
          <w:bCs/>
        </w:rPr>
      </w:pPr>
      <w:r w:rsidRPr="0026767D">
        <w:rPr>
          <w:bCs/>
        </w:rPr>
        <w:t>Pour la collectivité, s’engager vers la transition énergétique implique de revoir en profondeur son système de production énergétique et de limiter au maximum l’emprise des énergies fossiles au profit d’énergies renouvelables et de récupération.</w:t>
      </w:r>
    </w:p>
    <w:p w14:paraId="03CF5E8F" w14:textId="77777777" w:rsidR="009928D4" w:rsidRPr="0026767D" w:rsidRDefault="009928D4" w:rsidP="00BF1071">
      <w:pPr>
        <w:pStyle w:val="QBO-Texte"/>
      </w:pPr>
      <w:r w:rsidRPr="0026767D">
        <w:t>Cela permettra d’une part au territoire de gagner en indépendance énergétique et d’autre part de limiter les émissions de gaz à effet de serre liées aux consommations d’énergie résiduelles. En effet, la troisième révolution énergétique s’appuie sur la production décentralisée d’énergie et sur des projets de territoire liant une production et ses usages.</w:t>
      </w:r>
    </w:p>
    <w:p w14:paraId="456B33B8" w14:textId="77777777" w:rsidR="009928D4" w:rsidRPr="0026767D" w:rsidRDefault="009928D4" w:rsidP="00BF1071">
      <w:pPr>
        <w:pStyle w:val="QBO-Texte"/>
        <w:rPr>
          <w:iCs/>
        </w:rPr>
      </w:pPr>
      <w:r w:rsidRPr="0026767D">
        <w:rPr>
          <w:iCs/>
        </w:rPr>
        <w:t>La mise en place de cette stratégie doit permettre d’aboutir aux objectifs suivants :</w:t>
      </w:r>
    </w:p>
    <w:tbl>
      <w:tblPr>
        <w:tblW w:w="900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70" w:type="dxa"/>
          <w:right w:w="70" w:type="dxa"/>
        </w:tblCellMar>
        <w:tblLook w:val="04A0" w:firstRow="1" w:lastRow="0" w:firstColumn="1" w:lastColumn="0" w:noHBand="0" w:noVBand="1"/>
      </w:tblPr>
      <w:tblGrid>
        <w:gridCol w:w="2765"/>
        <w:gridCol w:w="1247"/>
        <w:gridCol w:w="1247"/>
        <w:gridCol w:w="1247"/>
        <w:gridCol w:w="1247"/>
        <w:gridCol w:w="1247"/>
      </w:tblGrid>
      <w:tr w:rsidR="009928D4" w:rsidRPr="0026767D" w14:paraId="010FC60E" w14:textId="77777777" w:rsidTr="00A754FA">
        <w:trPr>
          <w:trHeight w:val="397"/>
          <w:jc w:val="center"/>
        </w:trPr>
        <w:tc>
          <w:tcPr>
            <w:tcW w:w="2765" w:type="dxa"/>
            <w:shd w:val="clear" w:color="auto" w:fill="auto"/>
            <w:noWrap/>
            <w:vAlign w:val="center"/>
            <w:hideMark/>
          </w:tcPr>
          <w:p w14:paraId="3CABFFC8" w14:textId="77777777" w:rsidR="009928D4" w:rsidRPr="0026767D" w:rsidRDefault="009928D4" w:rsidP="00A754FA">
            <w:pPr>
              <w:spacing w:after="0"/>
              <w:jc w:val="center"/>
              <w:rPr>
                <w:rFonts w:cstheme="minorHAnsi"/>
                <w:b/>
                <w:bCs/>
                <w:color w:val="000000"/>
              </w:rPr>
            </w:pPr>
          </w:p>
        </w:tc>
        <w:tc>
          <w:tcPr>
            <w:tcW w:w="1247" w:type="dxa"/>
            <w:shd w:val="clear" w:color="auto" w:fill="EA9600" w:themeFill="accent3" w:themeFillShade="80"/>
            <w:noWrap/>
            <w:vAlign w:val="center"/>
            <w:hideMark/>
          </w:tcPr>
          <w:p w14:paraId="2D805F65" w14:textId="77777777" w:rsidR="009928D4" w:rsidRPr="0026767D" w:rsidRDefault="009928D4" w:rsidP="00A754FA">
            <w:pPr>
              <w:spacing w:after="0"/>
              <w:jc w:val="center"/>
              <w:rPr>
                <w:rFonts w:cstheme="minorHAnsi"/>
                <w:b/>
                <w:bCs/>
                <w:color w:val="FFFFFF"/>
              </w:rPr>
            </w:pPr>
            <w:r w:rsidRPr="0026767D">
              <w:rPr>
                <w:rFonts w:cstheme="minorHAnsi"/>
                <w:b/>
                <w:bCs/>
                <w:color w:val="FFFFFF"/>
              </w:rPr>
              <w:t>2021</w:t>
            </w:r>
          </w:p>
        </w:tc>
        <w:tc>
          <w:tcPr>
            <w:tcW w:w="1247" w:type="dxa"/>
            <w:shd w:val="clear" w:color="auto" w:fill="EA9600" w:themeFill="accent3" w:themeFillShade="80"/>
            <w:vAlign w:val="center"/>
          </w:tcPr>
          <w:p w14:paraId="30D860F6" w14:textId="77777777" w:rsidR="009928D4" w:rsidRPr="0026767D" w:rsidRDefault="009928D4" w:rsidP="00A754FA">
            <w:pPr>
              <w:spacing w:after="0"/>
              <w:jc w:val="center"/>
              <w:rPr>
                <w:rFonts w:cstheme="minorHAnsi"/>
                <w:b/>
                <w:bCs/>
                <w:color w:val="FFFFFF"/>
              </w:rPr>
            </w:pPr>
            <w:r w:rsidRPr="0026767D">
              <w:rPr>
                <w:rFonts w:cstheme="minorHAnsi"/>
                <w:b/>
                <w:bCs/>
                <w:color w:val="FFFFFF"/>
              </w:rPr>
              <w:t>2024</w:t>
            </w:r>
          </w:p>
        </w:tc>
        <w:tc>
          <w:tcPr>
            <w:tcW w:w="1247" w:type="dxa"/>
            <w:shd w:val="clear" w:color="auto" w:fill="EA9600" w:themeFill="accent3" w:themeFillShade="80"/>
            <w:noWrap/>
            <w:vAlign w:val="center"/>
            <w:hideMark/>
          </w:tcPr>
          <w:p w14:paraId="780C8AD7" w14:textId="77777777" w:rsidR="009928D4" w:rsidRPr="0026767D" w:rsidRDefault="009928D4" w:rsidP="00A754FA">
            <w:pPr>
              <w:spacing w:after="0"/>
              <w:jc w:val="center"/>
              <w:rPr>
                <w:rFonts w:cstheme="minorHAnsi"/>
                <w:b/>
                <w:bCs/>
                <w:color w:val="FFFFFF"/>
              </w:rPr>
            </w:pPr>
            <w:r w:rsidRPr="0026767D">
              <w:rPr>
                <w:rFonts w:cstheme="minorHAnsi"/>
                <w:b/>
                <w:bCs/>
                <w:color w:val="FFFFFF"/>
              </w:rPr>
              <w:t>2027</w:t>
            </w:r>
          </w:p>
        </w:tc>
        <w:tc>
          <w:tcPr>
            <w:tcW w:w="1247" w:type="dxa"/>
            <w:shd w:val="clear" w:color="auto" w:fill="EA9600" w:themeFill="accent3" w:themeFillShade="80"/>
            <w:noWrap/>
            <w:vAlign w:val="center"/>
            <w:hideMark/>
          </w:tcPr>
          <w:p w14:paraId="14375344" w14:textId="77777777" w:rsidR="009928D4" w:rsidRPr="0026767D" w:rsidRDefault="009928D4" w:rsidP="00A754FA">
            <w:pPr>
              <w:spacing w:after="0"/>
              <w:jc w:val="center"/>
              <w:rPr>
                <w:rFonts w:cstheme="minorHAnsi"/>
                <w:b/>
                <w:bCs/>
                <w:color w:val="FFFFFF"/>
              </w:rPr>
            </w:pPr>
            <w:r w:rsidRPr="0026767D">
              <w:rPr>
                <w:rFonts w:cstheme="minorHAnsi"/>
                <w:b/>
                <w:bCs/>
                <w:color w:val="FFFFFF"/>
              </w:rPr>
              <w:t>2030</w:t>
            </w:r>
          </w:p>
        </w:tc>
        <w:tc>
          <w:tcPr>
            <w:tcW w:w="1247" w:type="dxa"/>
            <w:shd w:val="clear" w:color="auto" w:fill="EA9600" w:themeFill="accent3" w:themeFillShade="80"/>
            <w:noWrap/>
            <w:vAlign w:val="center"/>
            <w:hideMark/>
          </w:tcPr>
          <w:p w14:paraId="2982269B" w14:textId="77777777" w:rsidR="009928D4" w:rsidRPr="0026767D" w:rsidRDefault="009928D4" w:rsidP="00A754FA">
            <w:pPr>
              <w:spacing w:after="0"/>
              <w:jc w:val="center"/>
              <w:rPr>
                <w:rFonts w:cstheme="minorHAnsi"/>
                <w:b/>
                <w:bCs/>
                <w:color w:val="FFFFFF"/>
              </w:rPr>
            </w:pPr>
            <w:r w:rsidRPr="0026767D">
              <w:rPr>
                <w:rFonts w:cstheme="minorHAnsi"/>
                <w:b/>
                <w:bCs/>
                <w:color w:val="FFFFFF"/>
              </w:rPr>
              <w:t>2050</w:t>
            </w:r>
          </w:p>
        </w:tc>
      </w:tr>
      <w:tr w:rsidR="009928D4" w:rsidRPr="0026767D" w14:paraId="0231DDD2" w14:textId="77777777" w:rsidTr="00A754FA">
        <w:trPr>
          <w:trHeight w:val="567"/>
          <w:jc w:val="center"/>
        </w:trPr>
        <w:tc>
          <w:tcPr>
            <w:tcW w:w="2765" w:type="dxa"/>
            <w:shd w:val="clear" w:color="auto" w:fill="EA9600" w:themeFill="accent3" w:themeFillShade="80"/>
            <w:noWrap/>
            <w:vAlign w:val="center"/>
            <w:hideMark/>
          </w:tcPr>
          <w:p w14:paraId="552DADF9" w14:textId="77777777" w:rsidR="009928D4" w:rsidRPr="0026767D" w:rsidRDefault="009928D4" w:rsidP="00A754FA">
            <w:pPr>
              <w:spacing w:after="0"/>
              <w:jc w:val="center"/>
              <w:rPr>
                <w:rFonts w:cstheme="minorHAnsi"/>
                <w:b/>
                <w:bCs/>
                <w:color w:val="FFFFFF"/>
              </w:rPr>
            </w:pPr>
            <w:r w:rsidRPr="0026767D">
              <w:rPr>
                <w:rFonts w:cstheme="minorHAnsi"/>
                <w:b/>
                <w:bCs/>
                <w:color w:val="FFFFFF"/>
              </w:rPr>
              <w:t>Production d’ENR&amp;R locales</w:t>
            </w:r>
          </w:p>
        </w:tc>
        <w:tc>
          <w:tcPr>
            <w:tcW w:w="1247" w:type="dxa"/>
            <w:shd w:val="clear" w:color="auto" w:fill="FAE6B4" w:themeFill="accent1" w:themeFillTint="66"/>
            <w:noWrap/>
            <w:vAlign w:val="center"/>
            <w:hideMark/>
          </w:tcPr>
          <w:p w14:paraId="54780DB6" w14:textId="77777777" w:rsidR="009928D4" w:rsidRPr="0026767D" w:rsidRDefault="009928D4" w:rsidP="00A754FA">
            <w:pPr>
              <w:spacing w:after="0"/>
              <w:jc w:val="center"/>
              <w:rPr>
                <w:rFonts w:cstheme="minorHAnsi"/>
              </w:rPr>
            </w:pPr>
            <w:r w:rsidRPr="0026767D">
              <w:rPr>
                <w:rFonts w:cstheme="minorHAnsi"/>
              </w:rPr>
              <w:t>192 GWh</w:t>
            </w:r>
          </w:p>
        </w:tc>
        <w:tc>
          <w:tcPr>
            <w:tcW w:w="1247" w:type="dxa"/>
            <w:shd w:val="clear" w:color="auto" w:fill="FAE6B4" w:themeFill="accent1" w:themeFillTint="66"/>
            <w:vAlign w:val="center"/>
          </w:tcPr>
          <w:p w14:paraId="1CB2E5C5" w14:textId="77777777" w:rsidR="009928D4" w:rsidRPr="0026767D" w:rsidRDefault="009928D4" w:rsidP="00A754FA">
            <w:pPr>
              <w:spacing w:after="0"/>
              <w:jc w:val="center"/>
              <w:rPr>
                <w:rFonts w:cstheme="minorHAnsi"/>
                <w:color w:val="000000"/>
              </w:rPr>
            </w:pPr>
            <w:r w:rsidRPr="0026767D">
              <w:rPr>
                <w:rFonts w:cstheme="minorHAnsi"/>
                <w:color w:val="000000"/>
              </w:rPr>
              <w:t>2</w:t>
            </w:r>
            <w:r>
              <w:rPr>
                <w:rFonts w:cstheme="minorHAnsi"/>
                <w:color w:val="000000"/>
              </w:rPr>
              <w:t>75</w:t>
            </w:r>
            <w:r w:rsidRPr="0026767D">
              <w:rPr>
                <w:rFonts w:cstheme="minorHAnsi"/>
                <w:color w:val="000000"/>
              </w:rPr>
              <w:t xml:space="preserve"> GWh</w:t>
            </w:r>
          </w:p>
        </w:tc>
        <w:tc>
          <w:tcPr>
            <w:tcW w:w="1247" w:type="dxa"/>
            <w:shd w:val="clear" w:color="auto" w:fill="FAE6B4" w:themeFill="accent1" w:themeFillTint="66"/>
            <w:noWrap/>
            <w:vAlign w:val="center"/>
          </w:tcPr>
          <w:p w14:paraId="16258A90" w14:textId="77777777" w:rsidR="009928D4" w:rsidRPr="0026767D" w:rsidRDefault="009928D4" w:rsidP="00A754FA">
            <w:pPr>
              <w:spacing w:after="0"/>
              <w:jc w:val="center"/>
              <w:rPr>
                <w:rFonts w:cstheme="minorHAnsi"/>
                <w:color w:val="000000"/>
              </w:rPr>
            </w:pPr>
            <w:r w:rsidRPr="0026767D">
              <w:rPr>
                <w:rFonts w:cstheme="minorHAnsi"/>
                <w:color w:val="000000"/>
              </w:rPr>
              <w:t>3</w:t>
            </w:r>
            <w:r>
              <w:rPr>
                <w:rFonts w:cstheme="minorHAnsi"/>
                <w:color w:val="000000"/>
              </w:rPr>
              <w:t>44</w:t>
            </w:r>
            <w:r w:rsidRPr="0026767D">
              <w:rPr>
                <w:rFonts w:cstheme="minorHAnsi"/>
                <w:color w:val="000000"/>
              </w:rPr>
              <w:t xml:space="preserve"> GWh</w:t>
            </w:r>
          </w:p>
        </w:tc>
        <w:tc>
          <w:tcPr>
            <w:tcW w:w="1247" w:type="dxa"/>
            <w:shd w:val="clear" w:color="auto" w:fill="FAE6B4" w:themeFill="accent1" w:themeFillTint="66"/>
            <w:noWrap/>
            <w:vAlign w:val="center"/>
          </w:tcPr>
          <w:p w14:paraId="3941818B" w14:textId="77777777" w:rsidR="009928D4" w:rsidRPr="0026767D" w:rsidRDefault="009928D4" w:rsidP="00A754FA">
            <w:pPr>
              <w:spacing w:after="0"/>
              <w:jc w:val="center"/>
              <w:rPr>
                <w:rFonts w:cstheme="minorHAnsi"/>
                <w:color w:val="000000"/>
              </w:rPr>
            </w:pPr>
            <w:r>
              <w:rPr>
                <w:rFonts w:cstheme="minorHAnsi"/>
                <w:color w:val="000000"/>
              </w:rPr>
              <w:t>438</w:t>
            </w:r>
            <w:r w:rsidRPr="0026767D">
              <w:rPr>
                <w:rFonts w:cstheme="minorHAnsi"/>
                <w:color w:val="000000"/>
              </w:rPr>
              <w:t xml:space="preserve"> GWh</w:t>
            </w:r>
          </w:p>
        </w:tc>
        <w:tc>
          <w:tcPr>
            <w:tcW w:w="1247" w:type="dxa"/>
            <w:shd w:val="clear" w:color="auto" w:fill="FAE6B4" w:themeFill="accent1" w:themeFillTint="66"/>
            <w:noWrap/>
            <w:vAlign w:val="center"/>
          </w:tcPr>
          <w:p w14:paraId="21137310" w14:textId="77777777" w:rsidR="009928D4" w:rsidRPr="0026767D" w:rsidRDefault="009928D4" w:rsidP="00A754FA">
            <w:pPr>
              <w:spacing w:after="0"/>
              <w:jc w:val="center"/>
              <w:rPr>
                <w:rFonts w:cstheme="minorHAnsi"/>
                <w:b/>
                <w:bCs/>
                <w:color w:val="000000"/>
              </w:rPr>
            </w:pPr>
            <w:r w:rsidRPr="0026767D">
              <w:rPr>
                <w:rFonts w:cstheme="minorHAnsi"/>
                <w:b/>
                <w:bCs/>
                <w:color w:val="000000"/>
              </w:rPr>
              <w:t>8</w:t>
            </w:r>
            <w:r>
              <w:rPr>
                <w:rFonts w:cstheme="minorHAnsi"/>
                <w:b/>
                <w:bCs/>
                <w:color w:val="000000"/>
              </w:rPr>
              <w:t>71</w:t>
            </w:r>
            <w:r w:rsidRPr="0026767D">
              <w:rPr>
                <w:rFonts w:cstheme="minorHAnsi"/>
                <w:b/>
                <w:bCs/>
                <w:color w:val="000000"/>
              </w:rPr>
              <w:t xml:space="preserve"> GWh</w:t>
            </w:r>
          </w:p>
        </w:tc>
      </w:tr>
      <w:tr w:rsidR="009928D4" w:rsidRPr="00AE5362" w14:paraId="37B405B4" w14:textId="77777777" w:rsidTr="00A754FA">
        <w:trPr>
          <w:trHeight w:val="567"/>
          <w:jc w:val="center"/>
        </w:trPr>
        <w:tc>
          <w:tcPr>
            <w:tcW w:w="2765" w:type="dxa"/>
            <w:shd w:val="clear" w:color="auto" w:fill="EA9600" w:themeFill="accent3" w:themeFillShade="80"/>
            <w:noWrap/>
            <w:vAlign w:val="center"/>
            <w:hideMark/>
          </w:tcPr>
          <w:p w14:paraId="4E176CD2" w14:textId="77777777" w:rsidR="009928D4" w:rsidRPr="0026767D" w:rsidRDefault="009928D4" w:rsidP="00A754FA">
            <w:pPr>
              <w:spacing w:after="0"/>
              <w:jc w:val="center"/>
              <w:rPr>
                <w:rFonts w:cstheme="minorHAnsi"/>
                <w:b/>
                <w:bCs/>
                <w:color w:val="FFFFFF"/>
              </w:rPr>
            </w:pPr>
            <w:r w:rsidRPr="0026767D">
              <w:rPr>
                <w:rFonts w:cstheme="minorHAnsi"/>
                <w:b/>
                <w:bCs/>
                <w:color w:val="FFFFFF"/>
              </w:rPr>
              <w:t>Rapport entre production locale ENR&amp;R et consommation d’énergie</w:t>
            </w:r>
          </w:p>
        </w:tc>
        <w:tc>
          <w:tcPr>
            <w:tcW w:w="1247" w:type="dxa"/>
            <w:shd w:val="clear" w:color="auto" w:fill="FCF2D9" w:themeFill="accent1" w:themeFillTint="33"/>
            <w:noWrap/>
            <w:vAlign w:val="center"/>
            <w:hideMark/>
          </w:tcPr>
          <w:p w14:paraId="73B6A295" w14:textId="77777777" w:rsidR="009928D4" w:rsidRPr="0026767D" w:rsidRDefault="009928D4" w:rsidP="00A754FA">
            <w:pPr>
              <w:spacing w:after="0"/>
              <w:jc w:val="center"/>
              <w:rPr>
                <w:rFonts w:cstheme="minorHAnsi"/>
              </w:rPr>
            </w:pPr>
            <w:r w:rsidRPr="0026767D">
              <w:rPr>
                <w:rFonts w:cstheme="minorHAnsi"/>
              </w:rPr>
              <w:t>5,5%</w:t>
            </w:r>
          </w:p>
        </w:tc>
        <w:tc>
          <w:tcPr>
            <w:tcW w:w="1247" w:type="dxa"/>
            <w:shd w:val="clear" w:color="auto" w:fill="FCF2D9" w:themeFill="accent1" w:themeFillTint="33"/>
            <w:vAlign w:val="center"/>
          </w:tcPr>
          <w:p w14:paraId="40882D5C" w14:textId="77777777" w:rsidR="009928D4" w:rsidRPr="0026767D" w:rsidRDefault="009928D4" w:rsidP="00A754FA">
            <w:pPr>
              <w:spacing w:after="0"/>
              <w:jc w:val="center"/>
              <w:rPr>
                <w:rFonts w:cstheme="minorHAnsi"/>
                <w:color w:val="000000"/>
              </w:rPr>
            </w:pPr>
            <w:r>
              <w:rPr>
                <w:rFonts w:cstheme="minorHAnsi"/>
                <w:color w:val="000000"/>
              </w:rPr>
              <w:t>8,3</w:t>
            </w:r>
            <w:r w:rsidRPr="0026767D">
              <w:rPr>
                <w:rFonts w:cstheme="minorHAnsi"/>
                <w:color w:val="000000"/>
              </w:rPr>
              <w:t>%</w:t>
            </w:r>
          </w:p>
        </w:tc>
        <w:tc>
          <w:tcPr>
            <w:tcW w:w="1247" w:type="dxa"/>
            <w:shd w:val="clear" w:color="auto" w:fill="FCF2D9" w:themeFill="accent1" w:themeFillTint="33"/>
            <w:noWrap/>
            <w:vAlign w:val="center"/>
          </w:tcPr>
          <w:p w14:paraId="4340E662" w14:textId="77777777" w:rsidR="009928D4" w:rsidRPr="0026767D" w:rsidRDefault="009928D4" w:rsidP="00A754FA">
            <w:pPr>
              <w:spacing w:after="0"/>
              <w:jc w:val="center"/>
              <w:rPr>
                <w:rFonts w:cstheme="minorHAnsi"/>
                <w:color w:val="000000"/>
              </w:rPr>
            </w:pPr>
            <w:r>
              <w:rPr>
                <w:rFonts w:cstheme="minorHAnsi"/>
                <w:color w:val="000000"/>
              </w:rPr>
              <w:t>11,9</w:t>
            </w:r>
            <w:r w:rsidRPr="0026767D">
              <w:rPr>
                <w:rFonts w:cstheme="minorHAnsi"/>
                <w:color w:val="000000"/>
              </w:rPr>
              <w:t>%</w:t>
            </w:r>
          </w:p>
        </w:tc>
        <w:tc>
          <w:tcPr>
            <w:tcW w:w="1247" w:type="dxa"/>
            <w:shd w:val="clear" w:color="auto" w:fill="FCF2D9" w:themeFill="accent1" w:themeFillTint="33"/>
            <w:noWrap/>
            <w:vAlign w:val="center"/>
          </w:tcPr>
          <w:p w14:paraId="2BD30DC7" w14:textId="77777777" w:rsidR="009928D4" w:rsidRPr="0026767D" w:rsidRDefault="009928D4" w:rsidP="00A754FA">
            <w:pPr>
              <w:spacing w:after="0"/>
              <w:jc w:val="center"/>
              <w:rPr>
                <w:rFonts w:cstheme="minorHAnsi"/>
                <w:color w:val="000000"/>
              </w:rPr>
            </w:pPr>
            <w:r>
              <w:rPr>
                <w:rFonts w:cstheme="minorHAnsi"/>
                <w:color w:val="000000"/>
              </w:rPr>
              <w:t>17,8</w:t>
            </w:r>
            <w:r w:rsidRPr="0026767D">
              <w:rPr>
                <w:rFonts w:cstheme="minorHAnsi"/>
                <w:color w:val="000000"/>
              </w:rPr>
              <w:t>%</w:t>
            </w:r>
          </w:p>
        </w:tc>
        <w:tc>
          <w:tcPr>
            <w:tcW w:w="1247" w:type="dxa"/>
            <w:shd w:val="clear" w:color="auto" w:fill="FCF2D9" w:themeFill="accent1" w:themeFillTint="33"/>
            <w:noWrap/>
            <w:vAlign w:val="center"/>
          </w:tcPr>
          <w:p w14:paraId="5AC44C68" w14:textId="77777777" w:rsidR="009928D4" w:rsidRPr="0026767D" w:rsidRDefault="009928D4" w:rsidP="00A754FA">
            <w:pPr>
              <w:spacing w:after="0"/>
              <w:jc w:val="center"/>
              <w:rPr>
                <w:rFonts w:cstheme="minorHAnsi"/>
                <w:b/>
                <w:bCs/>
                <w:color w:val="000000"/>
              </w:rPr>
            </w:pPr>
            <w:r>
              <w:rPr>
                <w:rFonts w:cstheme="minorHAnsi"/>
                <w:b/>
                <w:bCs/>
                <w:color w:val="000000"/>
              </w:rPr>
              <w:t>54,5</w:t>
            </w:r>
            <w:r w:rsidRPr="0026767D">
              <w:rPr>
                <w:rFonts w:cstheme="minorHAnsi"/>
                <w:b/>
                <w:bCs/>
                <w:color w:val="000000"/>
              </w:rPr>
              <w:t>%</w:t>
            </w:r>
          </w:p>
        </w:tc>
      </w:tr>
    </w:tbl>
    <w:p w14:paraId="104B8EA7" w14:textId="77777777" w:rsidR="009928D4" w:rsidRPr="00AE5362" w:rsidRDefault="009928D4" w:rsidP="009928D4">
      <w:pPr>
        <w:spacing w:before="120"/>
        <w:contextualSpacing/>
        <w:rPr>
          <w:rFonts w:cstheme="minorHAnsi"/>
          <w:highlight w:val="yellow"/>
        </w:rPr>
      </w:pPr>
    </w:p>
    <w:p w14:paraId="3DAC625A" w14:textId="77777777" w:rsidR="009928D4" w:rsidRPr="0026767D" w:rsidRDefault="009928D4" w:rsidP="009928D4">
      <w:pPr>
        <w:rPr>
          <w:i/>
        </w:rPr>
      </w:pPr>
      <w:r w:rsidRPr="0026767D">
        <w:rPr>
          <w:i/>
        </w:rPr>
        <w:t xml:space="preserve">Le total projeté à horizon 2050 s’appuie d’une part sur la production d’énergie renouvelable de 2018 établie par le SDET de Quimper Bretagne Occidentale, à laquelle est ajoutée la production supplémentaire développée sur la période 2024-2050. </w:t>
      </w:r>
    </w:p>
    <w:p w14:paraId="76912F26" w14:textId="6C66D9F4" w:rsidR="00055A7C" w:rsidRDefault="00A15581" w:rsidP="00A15581">
      <w:pPr>
        <w:pStyle w:val="Lgende"/>
      </w:pPr>
      <w:bookmarkStart w:id="26" w:name="_Hlk176506707"/>
      <w:r>
        <w:t xml:space="preserve">Tableau </w:t>
      </w:r>
      <w:r w:rsidR="005E669F">
        <w:fldChar w:fldCharType="begin"/>
      </w:r>
      <w:r w:rsidR="005E669F">
        <w:instrText xml:space="preserve"> SEQ Tableau \* ARABIC </w:instrText>
      </w:r>
      <w:r w:rsidR="005E669F">
        <w:fldChar w:fldCharType="separate"/>
      </w:r>
      <w:r w:rsidR="007F7541">
        <w:rPr>
          <w:noProof/>
        </w:rPr>
        <w:t>2</w:t>
      </w:r>
      <w:r w:rsidR="005E669F">
        <w:rPr>
          <w:noProof/>
        </w:rPr>
        <w:fldChar w:fldCharType="end"/>
      </w:r>
      <w:r>
        <w:t xml:space="preserve"> : Evolution de la production d’ENR&amp;R entre 2021 et 2050</w:t>
      </w:r>
    </w:p>
    <w:p w14:paraId="2968B8F3" w14:textId="3ACAAEE7" w:rsidR="00A15581" w:rsidRPr="001B1E8E" w:rsidRDefault="00A15581" w:rsidP="00055A7C">
      <w:pPr>
        <w:pStyle w:val="QBO-Sources"/>
        <w:rPr>
          <w:rFonts w:cs="Arial"/>
        </w:rPr>
      </w:pPr>
      <w:r w:rsidRPr="00BF1071">
        <w:t>Source : TerriSTORY®, ALTEREA</w:t>
      </w:r>
    </w:p>
    <w:bookmarkEnd w:id="26"/>
    <w:p w14:paraId="3A256DDE" w14:textId="064DEBD0" w:rsidR="003137DA" w:rsidRPr="00BF1071" w:rsidRDefault="003137DA" w:rsidP="00055A7C">
      <w:pPr>
        <w:pStyle w:val="QBO-Texte"/>
      </w:pPr>
      <w:r w:rsidRPr="00BF1071">
        <w:t>Selon une approche secteur par secteur, les objectifs sont nuancés sur le territoire, ceci du fait d’un contexte local peu comparable à la situation nationale</w:t>
      </w:r>
      <w:r w:rsidR="001B1E8E" w:rsidRPr="00BF1071">
        <w:t>.</w:t>
      </w:r>
    </w:p>
    <w:p w14:paraId="48F4ACFF" w14:textId="65D55BB2" w:rsidR="003137DA" w:rsidRPr="00BF1071" w:rsidRDefault="003137DA" w:rsidP="00055A7C">
      <w:pPr>
        <w:pStyle w:val="QBO-Texte"/>
      </w:pPr>
      <w:r w:rsidRPr="00BF1071">
        <w:t xml:space="preserve">En conclusion, la </w:t>
      </w:r>
      <w:r w:rsidR="001A3274" w:rsidRPr="00BF1071">
        <w:t>s</w:t>
      </w:r>
      <w:r w:rsidRPr="00BF1071">
        <w:t xml:space="preserve">tratégie du PCAET de la </w:t>
      </w:r>
      <w:r w:rsidR="00BF1071">
        <w:t>c</w:t>
      </w:r>
      <w:r w:rsidR="00CC22B1" w:rsidRPr="00BF1071">
        <w:t>ommunauté d’agglomération</w:t>
      </w:r>
      <w:r w:rsidRPr="00BF1071">
        <w:t xml:space="preserve"> répond globalement aux attentes nationales, étant entendu que la déclinaison « technique » secteur par secteur diffère du fait des spécificités socio-économiques locales.</w:t>
      </w:r>
    </w:p>
    <w:p w14:paraId="4EFEB611" w14:textId="670FF75D" w:rsidR="009D5530" w:rsidRPr="00BF1071" w:rsidRDefault="00FC34AE" w:rsidP="00055A7C">
      <w:pPr>
        <w:pStyle w:val="QBO-Texte"/>
        <w:rPr>
          <w:i/>
          <w:iCs/>
        </w:rPr>
      </w:pPr>
      <w:r w:rsidRPr="00BF1071">
        <w:rPr>
          <w:i/>
          <w:iCs/>
        </w:rPr>
        <w:lastRenderedPageBreak/>
        <w:t>Le détail des attentes du cadre national et des déclinaisons proposées dans le PCAET sont présentées au sein des autres documents du PCAET (</w:t>
      </w:r>
      <w:r w:rsidR="00BF1071">
        <w:rPr>
          <w:i/>
          <w:iCs/>
        </w:rPr>
        <w:t xml:space="preserve">Rapport </w:t>
      </w:r>
      <w:r w:rsidRPr="00BF1071">
        <w:rPr>
          <w:i/>
          <w:iCs/>
        </w:rPr>
        <w:t>Stratégie et P</w:t>
      </w:r>
      <w:r w:rsidR="00BF1071">
        <w:rPr>
          <w:i/>
          <w:iCs/>
        </w:rPr>
        <w:t>rogramme</w:t>
      </w:r>
      <w:r w:rsidRPr="00BF1071">
        <w:rPr>
          <w:i/>
          <w:iCs/>
        </w:rPr>
        <w:t xml:space="preserve"> d’Actions</w:t>
      </w:r>
      <w:r w:rsidR="00C30AB9">
        <w:rPr>
          <w:i/>
          <w:iCs/>
        </w:rPr>
        <w:t xml:space="preserve"> du PCAET</w:t>
      </w:r>
      <w:r w:rsidRPr="00BF1071">
        <w:rPr>
          <w:i/>
          <w:iCs/>
        </w:rPr>
        <w:t>).</w:t>
      </w:r>
    </w:p>
    <w:p w14:paraId="187738D9" w14:textId="77777777" w:rsidR="009D5530" w:rsidRPr="00C30AB9" w:rsidRDefault="007E57EC" w:rsidP="00C30AB9">
      <w:pPr>
        <w:pStyle w:val="Titre2ALTEREA2018"/>
      </w:pPr>
      <w:bookmarkStart w:id="27" w:name="_Toc98841690"/>
      <w:bookmarkStart w:id="28" w:name="_Toc179277399"/>
      <w:r w:rsidRPr="00C30AB9">
        <w:t>L’articulation avec les documents cadres régionaux</w:t>
      </w:r>
      <w:bookmarkEnd w:id="27"/>
      <w:bookmarkEnd w:id="28"/>
      <w:r w:rsidRPr="00C30AB9">
        <w:t xml:space="preserve"> </w:t>
      </w:r>
    </w:p>
    <w:p w14:paraId="30CC97A7" w14:textId="77777777" w:rsidR="009D5530" w:rsidRPr="00752E4C" w:rsidRDefault="007E57EC" w:rsidP="00C30AB9">
      <w:pPr>
        <w:pStyle w:val="Titre3"/>
      </w:pPr>
      <w:bookmarkStart w:id="29" w:name="_Toc98841691"/>
      <w:bookmarkStart w:id="30" w:name="_Toc179277400"/>
      <w:r w:rsidRPr="00752E4C">
        <w:t>Rappel du cadre régional</w:t>
      </w:r>
      <w:bookmarkEnd w:id="29"/>
      <w:bookmarkEnd w:id="30"/>
      <w:r w:rsidRPr="00752E4C">
        <w:t xml:space="preserve"> </w:t>
      </w:r>
    </w:p>
    <w:p w14:paraId="33E2ABB3" w14:textId="6226BFFA" w:rsidR="009D5530" w:rsidRDefault="00752E4C" w:rsidP="00055A7C">
      <w:pPr>
        <w:pStyle w:val="QBO-Texte"/>
      </w:pPr>
      <w:r w:rsidRPr="009E408A">
        <w:t xml:space="preserve">A l’échelle de la Région </w:t>
      </w:r>
      <w:r>
        <w:t>Bretagne</w:t>
      </w:r>
      <w:r w:rsidRPr="009E408A">
        <w:t xml:space="preserve">, le </w:t>
      </w:r>
      <w:r w:rsidRPr="00752E4C">
        <w:rPr>
          <w:b/>
          <w:bCs/>
        </w:rPr>
        <w:t>Schéma Régional d’Aménagement, de Développement Durable et d'Egalité des Territoires (SRADDET</w:t>
      </w:r>
      <w:r w:rsidRPr="009E408A">
        <w:t>)</w:t>
      </w:r>
      <w:r>
        <w:t xml:space="preserve">, approuvé par le préfet de Région le </w:t>
      </w:r>
      <w:r w:rsidRPr="009D7E82">
        <w:t>16 mars 2021</w:t>
      </w:r>
      <w:r>
        <w:t xml:space="preserve">, un certain nombre d’objectifs et d’orientations </w:t>
      </w:r>
      <w:r w:rsidR="007E57EC" w:rsidRPr="00752E4C">
        <w:t>stratégiques pour le territoire régional en matière de réduction des consommations d’énergie et des émissions de gaz à effet de serre, d’amélioration de la qualité de l’air, de développement des énergies renouvelables et d’adaptation aux effets du changement climatique.</w:t>
      </w:r>
    </w:p>
    <w:p w14:paraId="2DA81647" w14:textId="1CF7BFF8" w:rsidR="00752E4C" w:rsidRPr="00C30AB9" w:rsidRDefault="00752E4C" w:rsidP="00055A7C">
      <w:pPr>
        <w:pStyle w:val="QBO-Texte"/>
      </w:pPr>
      <w:r w:rsidRPr="00C30AB9">
        <w:t xml:space="preserve">Les objectifs définis au sein du SRADDET sont les suivants : </w:t>
      </w:r>
    </w:p>
    <w:p w14:paraId="5B89863A" w14:textId="77777777" w:rsidR="00752E4C" w:rsidRPr="00C30AB9" w:rsidRDefault="00752E4C" w:rsidP="00752E4C">
      <w:pPr>
        <w:pStyle w:val="QBO-Puces1"/>
        <w:rPr>
          <w:rFonts w:ascii="Arial" w:hAnsi="Arial"/>
          <w:kern w:val="0"/>
          <w:szCs w:val="24"/>
          <w14:ligatures w14:val="none"/>
        </w:rPr>
      </w:pPr>
      <w:r w:rsidRPr="00C30AB9">
        <w:rPr>
          <w:rFonts w:ascii="Arial" w:hAnsi="Arial"/>
          <w:kern w:val="0"/>
          <w:szCs w:val="24"/>
          <w14:ligatures w14:val="none"/>
        </w:rPr>
        <w:t xml:space="preserve">Une </w:t>
      </w:r>
      <w:r w:rsidRPr="00C30AB9">
        <w:rPr>
          <w:rFonts w:ascii="Arial" w:hAnsi="Arial"/>
          <w:b/>
          <w:bCs/>
          <w:kern w:val="0"/>
          <w:szCs w:val="24"/>
          <w14:ligatures w14:val="none"/>
        </w:rPr>
        <w:t>réduction de 44% des consommations d’énergie finale</w:t>
      </w:r>
      <w:r w:rsidRPr="00C30AB9">
        <w:rPr>
          <w:rFonts w:ascii="Arial" w:hAnsi="Arial"/>
          <w:kern w:val="0"/>
          <w:szCs w:val="24"/>
          <w14:ligatures w14:val="none"/>
        </w:rPr>
        <w:t xml:space="preserve"> à l’horizon 2050 par rapport à 2012 ;</w:t>
      </w:r>
    </w:p>
    <w:p w14:paraId="45EF3696" w14:textId="77777777" w:rsidR="00752E4C" w:rsidRPr="00C30AB9" w:rsidRDefault="00752E4C" w:rsidP="00752E4C">
      <w:pPr>
        <w:pStyle w:val="QBO-Puces1"/>
        <w:rPr>
          <w:rFonts w:ascii="Arial" w:hAnsi="Arial"/>
          <w:kern w:val="0"/>
          <w:szCs w:val="24"/>
          <w14:ligatures w14:val="none"/>
        </w:rPr>
      </w:pPr>
      <w:r w:rsidRPr="00C30AB9">
        <w:rPr>
          <w:rFonts w:ascii="Arial" w:hAnsi="Arial"/>
          <w:kern w:val="0"/>
          <w:szCs w:val="24"/>
          <w14:ligatures w14:val="none"/>
        </w:rPr>
        <w:t xml:space="preserve">Une </w:t>
      </w:r>
      <w:r w:rsidRPr="00C30AB9">
        <w:rPr>
          <w:rFonts w:ascii="Arial" w:hAnsi="Arial"/>
          <w:b/>
          <w:bCs/>
          <w:kern w:val="0"/>
          <w:szCs w:val="24"/>
          <w14:ligatures w14:val="none"/>
        </w:rPr>
        <w:t>réduction de 66% des émissions de gaz à effet de serre</w:t>
      </w:r>
      <w:r w:rsidRPr="00C30AB9">
        <w:rPr>
          <w:rFonts w:ascii="Arial" w:hAnsi="Arial"/>
          <w:kern w:val="0"/>
          <w:szCs w:val="24"/>
          <w14:ligatures w14:val="none"/>
        </w:rPr>
        <w:t xml:space="preserve"> à l’horizon 2050 par rapport à 2012 ;</w:t>
      </w:r>
    </w:p>
    <w:p w14:paraId="050DF854" w14:textId="77777777" w:rsidR="00752E4C" w:rsidRDefault="00752E4C" w:rsidP="00752E4C">
      <w:pPr>
        <w:pStyle w:val="QBO-Puces1"/>
        <w:spacing w:after="240"/>
        <w:rPr>
          <w:rFonts w:ascii="Arial" w:hAnsi="Arial"/>
          <w:kern w:val="0"/>
          <w:szCs w:val="24"/>
          <w14:ligatures w14:val="none"/>
        </w:rPr>
      </w:pPr>
      <w:r w:rsidRPr="00C30AB9">
        <w:rPr>
          <w:rFonts w:ascii="Arial" w:hAnsi="Arial"/>
          <w:kern w:val="0"/>
          <w:szCs w:val="24"/>
          <w14:ligatures w14:val="none"/>
        </w:rPr>
        <w:t xml:space="preserve">Une </w:t>
      </w:r>
      <w:r w:rsidRPr="00C30AB9">
        <w:rPr>
          <w:rFonts w:ascii="Arial" w:hAnsi="Arial"/>
          <w:b/>
          <w:bCs/>
          <w:kern w:val="0"/>
          <w:szCs w:val="24"/>
          <w14:ligatures w14:val="none"/>
        </w:rPr>
        <w:t>multiplication de la production d’énergie renouvelable par 4,9 à l’horizon 2030</w:t>
      </w:r>
      <w:r w:rsidRPr="00C30AB9">
        <w:rPr>
          <w:rFonts w:ascii="Arial" w:hAnsi="Arial"/>
          <w:kern w:val="0"/>
          <w:szCs w:val="24"/>
          <w14:ligatures w14:val="none"/>
        </w:rPr>
        <w:t xml:space="preserve"> et par 9,4 à l’horizon 2050 par rapport à 2012.</w:t>
      </w:r>
    </w:p>
    <w:p w14:paraId="1A1B9826" w14:textId="3C30E37D" w:rsidR="00C30AB9" w:rsidRPr="00C30AB9" w:rsidRDefault="00C30AB9" w:rsidP="00055A7C">
      <w:pPr>
        <w:pStyle w:val="QBO-Texte"/>
      </w:pPr>
      <w:bookmarkStart w:id="31" w:name="_Hlk176507985"/>
      <w:r w:rsidRPr="00C30AB9">
        <w:t>Dans l’attente du décret de régionalisation des objectifs de développement des énergies renouvelables, les objectifs et sous objectifs suivant du SRADDET Bretagne ont</w:t>
      </w:r>
      <w:r>
        <w:t xml:space="preserve"> été</w:t>
      </w:r>
      <w:r w:rsidRPr="00C30AB9">
        <w:t xml:space="preserve"> modifiés </w:t>
      </w:r>
      <w:r>
        <w:t xml:space="preserve">en février 2024 </w:t>
      </w:r>
      <w:r w:rsidRPr="00C30AB9">
        <w:t>pour intégrer les objectifs de la Stratégie Nationale Bas-Carbone 2 (SNBC2), ainsi que la contribution régionale à ces objectifs :</w:t>
      </w:r>
    </w:p>
    <w:p w14:paraId="72C36388" w14:textId="0398A3B7" w:rsidR="00C30AB9" w:rsidRPr="00C30AB9" w:rsidRDefault="00C30AB9" w:rsidP="00055A7C">
      <w:pPr>
        <w:pStyle w:val="QBO-Puces1"/>
      </w:pPr>
      <w:r w:rsidRPr="00C30AB9">
        <w:t>Réduire de 34% les émissions de gaz à effet de serre de l’agriculture en Bretagne</w:t>
      </w:r>
      <w:r>
        <w:t> ;</w:t>
      </w:r>
    </w:p>
    <w:p w14:paraId="22ABB01C" w14:textId="45371E5D" w:rsidR="00C30AB9" w:rsidRPr="00C30AB9" w:rsidRDefault="00C30AB9" w:rsidP="00055A7C">
      <w:pPr>
        <w:pStyle w:val="QBO-Puces1"/>
      </w:pPr>
      <w:r w:rsidRPr="00C30AB9">
        <w:t>Mettre en cohérence les politiques transports des collectivités bretonnes avec les objectifs du facteur 4 (division des gaz à effet de serre par 4 à horizon 2050)</w:t>
      </w:r>
      <w:r>
        <w:t> ;</w:t>
      </w:r>
    </w:p>
    <w:p w14:paraId="412B779E" w14:textId="6D416A7F" w:rsidR="00C30AB9" w:rsidRPr="00C30AB9" w:rsidRDefault="00C30AB9" w:rsidP="00055A7C">
      <w:pPr>
        <w:pStyle w:val="QBO-Puces1"/>
      </w:pPr>
      <w:r w:rsidRPr="00C30AB9">
        <w:t>Réduire les émissions de polluants atmosphériques</w:t>
      </w:r>
      <w:r>
        <w:t> ;</w:t>
      </w:r>
    </w:p>
    <w:p w14:paraId="6C8BE4E9" w14:textId="7226C985" w:rsidR="00C30AB9" w:rsidRPr="00C30AB9" w:rsidRDefault="00C30AB9" w:rsidP="00055A7C">
      <w:pPr>
        <w:pStyle w:val="QBO-Puces1"/>
      </w:pPr>
      <w:r w:rsidRPr="00C30AB9">
        <w:t>Diviser par 2 les émissions de gaz à effet de serre en Bretagne à horizon 2040 ;</w:t>
      </w:r>
    </w:p>
    <w:p w14:paraId="32989DE4" w14:textId="5CD763C0" w:rsidR="00C30AB9" w:rsidRPr="00C30AB9" w:rsidRDefault="00C30AB9" w:rsidP="00055A7C">
      <w:pPr>
        <w:pStyle w:val="QBO-Puces1"/>
      </w:pPr>
      <w:r w:rsidRPr="00C30AB9">
        <w:t>Multiplier par 7 la production d’énergie</w:t>
      </w:r>
      <w:r>
        <w:t>s</w:t>
      </w:r>
      <w:r w:rsidRPr="00C30AB9">
        <w:t xml:space="preserve"> renouvelable</w:t>
      </w:r>
      <w:r>
        <w:t>s et de récupération</w:t>
      </w:r>
      <w:r w:rsidRPr="00C30AB9">
        <w:t xml:space="preserve"> en Bretagne à horizon 2040 ;</w:t>
      </w:r>
    </w:p>
    <w:p w14:paraId="0F712B59" w14:textId="77777777" w:rsidR="00C30AB9" w:rsidRDefault="00C30AB9" w:rsidP="00055A7C">
      <w:pPr>
        <w:pStyle w:val="QBO-Puces1"/>
      </w:pPr>
      <w:r w:rsidRPr="00C30AB9">
        <w:t>Réduire de 39% les consommations d’énergie bretonne à l’horizon 2040 ;</w:t>
      </w:r>
    </w:p>
    <w:p w14:paraId="27217521" w14:textId="724D02CB" w:rsidR="00C30AB9" w:rsidRPr="00C30AB9" w:rsidRDefault="00C30AB9" w:rsidP="00055A7C">
      <w:pPr>
        <w:pStyle w:val="QBO-Puces1"/>
        <w:spacing w:after="240"/>
      </w:pPr>
      <w:r w:rsidRPr="00C30AB9">
        <w:t>Lutter contre la précarité énergétique.</w:t>
      </w:r>
    </w:p>
    <w:bookmarkEnd w:id="31"/>
    <w:p w14:paraId="48731E8B" w14:textId="5521CF6F" w:rsidR="00752E4C" w:rsidRPr="00C30AB9" w:rsidRDefault="00752E4C" w:rsidP="00C30AB9">
      <w:pPr>
        <w:pStyle w:val="QBO-Texte"/>
        <w:rPr>
          <w:rFonts w:ascii="Arial" w:hAnsi="Arial"/>
          <w:color w:val="000000" w:themeColor="background1"/>
          <w:kern w:val="0"/>
          <w:lang w:eastAsia="fr-FR"/>
          <w14:ligatures w14:val="none"/>
        </w:rPr>
      </w:pPr>
      <w:r w:rsidRPr="00C30AB9">
        <w:rPr>
          <w:rFonts w:ascii="Arial" w:hAnsi="Arial"/>
          <w:color w:val="000000" w:themeColor="background1"/>
          <w:kern w:val="0"/>
          <w:lang w:eastAsia="fr-FR"/>
          <w14:ligatures w14:val="none"/>
        </w:rPr>
        <w:t>Le PCAET de Quimper Bretagne Occidentale doit donc permettre d’aboutir à un territoire adapté au changement climatique dont les besoins énergétiques sont réduits et majoritairement couverts par les énergies renouvelables et de récupération produites localement. Il y parviendra en prenant en considération l’ensemble des secteurs et en ciblant ses actions sur les usages les plus consommateurs et/ou les plus émetteurs. Afin d’assurer la bonne application de ces actions, le PCAET devra, autant que possible, être travaillé avec les</w:t>
      </w:r>
      <w:r w:rsidR="00C30AB9">
        <w:rPr>
          <w:rFonts w:ascii="Arial" w:hAnsi="Arial"/>
          <w:color w:val="000000" w:themeColor="background1"/>
          <w:kern w:val="0"/>
          <w:lang w:eastAsia="fr-FR"/>
          <w14:ligatures w14:val="none"/>
        </w:rPr>
        <w:t xml:space="preserve"> parties prenantes </w:t>
      </w:r>
      <w:r w:rsidRPr="00C30AB9">
        <w:rPr>
          <w:rFonts w:ascii="Arial" w:hAnsi="Arial"/>
          <w:color w:val="000000" w:themeColor="background1"/>
          <w:kern w:val="0"/>
          <w:lang w:eastAsia="fr-FR"/>
          <w14:ligatures w14:val="none"/>
        </w:rPr>
        <w:t>du territoire.</w:t>
      </w:r>
    </w:p>
    <w:p w14:paraId="1109544E" w14:textId="609778B7" w:rsidR="003137DA" w:rsidRPr="00752E4C" w:rsidRDefault="007E57EC" w:rsidP="00137A70">
      <w:pPr>
        <w:pStyle w:val="Titre3"/>
      </w:pPr>
      <w:bookmarkStart w:id="32" w:name="_Toc98841692"/>
      <w:bookmarkStart w:id="33" w:name="_Toc179277401"/>
      <w:r w:rsidRPr="00752E4C">
        <w:t>Déclinaison dans le PCAET</w:t>
      </w:r>
      <w:bookmarkEnd w:id="32"/>
      <w:bookmarkEnd w:id="33"/>
      <w:r w:rsidRPr="00752E4C">
        <w:t xml:space="preserve"> </w:t>
      </w:r>
    </w:p>
    <w:p w14:paraId="1796EFE2" w14:textId="3EB47CB9" w:rsidR="00752E4C" w:rsidRPr="00137A70" w:rsidRDefault="003137DA" w:rsidP="00055A7C">
      <w:pPr>
        <w:pStyle w:val="QBO-Texte"/>
      </w:pPr>
      <w:r w:rsidRPr="00137A70">
        <w:t xml:space="preserve">Les objectifs du </w:t>
      </w:r>
      <w:r w:rsidR="00752E4C" w:rsidRPr="00137A70">
        <w:t>SRADDET</w:t>
      </w:r>
      <w:r w:rsidRPr="00137A70">
        <w:t xml:space="preserve"> de la région </w:t>
      </w:r>
      <w:r w:rsidR="00752E4C" w:rsidRPr="00137A70">
        <w:t xml:space="preserve">Bretagne </w:t>
      </w:r>
      <w:r w:rsidRPr="00137A70">
        <w:t xml:space="preserve">sont fixés à l’horizon 2050 tout comme le PCAET. Par conséquent, il est possible de conclure sur la compatibilité à cet horizon. </w:t>
      </w:r>
    </w:p>
    <w:p w14:paraId="578BE6C9" w14:textId="6337A79C" w:rsidR="00752E4C" w:rsidRPr="00137A70" w:rsidRDefault="00752E4C" w:rsidP="00055A7C">
      <w:pPr>
        <w:pStyle w:val="QBO-Texte"/>
        <w:rPr>
          <w:b/>
          <w:bCs/>
        </w:rPr>
      </w:pPr>
      <w:r w:rsidRPr="00137A70">
        <w:t xml:space="preserve">En matière de consommations d’énergie, l’objectif du PCAET, d’une évolution projetée de </w:t>
      </w:r>
      <w:r w:rsidR="00137A70" w:rsidRPr="00137A70">
        <w:rPr>
          <w:b/>
          <w:bCs/>
        </w:rPr>
        <w:t>50</w:t>
      </w:r>
      <w:r w:rsidRPr="00137A70">
        <w:rPr>
          <w:b/>
          <w:bCs/>
        </w:rPr>
        <w:t xml:space="preserve">% des consommations énergétiques entre 2018 et 2050, permet </w:t>
      </w:r>
      <w:r w:rsidR="00FC34AE" w:rsidRPr="00137A70">
        <w:rPr>
          <w:b/>
          <w:bCs/>
        </w:rPr>
        <w:t>de dépasser l’objectif de la région Bretagne, ce dernier ayant un objectif de baisse de 36% des consommations d’énergie finale entre 2018 et 2050.</w:t>
      </w:r>
    </w:p>
    <w:p w14:paraId="7AE16DFF" w14:textId="2518F394" w:rsidR="00FC34AE" w:rsidRPr="00137A70" w:rsidRDefault="00752E4C" w:rsidP="00055A7C">
      <w:pPr>
        <w:pStyle w:val="QBO-Texte"/>
        <w:rPr>
          <w:b/>
          <w:bCs/>
        </w:rPr>
      </w:pPr>
      <w:r w:rsidRPr="00137A70">
        <w:lastRenderedPageBreak/>
        <w:t xml:space="preserve">Concernant les émissions de GES, le PCAET fixe une réduction de </w:t>
      </w:r>
      <w:r w:rsidR="00137A70">
        <w:t>71</w:t>
      </w:r>
      <w:r w:rsidRPr="00137A70">
        <w:t xml:space="preserve">% de ces dernières entre 2018 et 2050. </w:t>
      </w:r>
      <w:r w:rsidR="00FC34AE" w:rsidRPr="00137A70">
        <w:t xml:space="preserve">L’objectif du SRADDET est quant à lui une réduction de 63% des émissions de GES entre 2018 et 2050. </w:t>
      </w:r>
      <w:r w:rsidR="00FC34AE" w:rsidRPr="00137A70">
        <w:rPr>
          <w:b/>
          <w:bCs/>
        </w:rPr>
        <w:t>Le PCAET permet donc de dépasser l’objectif régional.</w:t>
      </w:r>
    </w:p>
    <w:p w14:paraId="4E307659" w14:textId="7334CAA7" w:rsidR="00752E4C" w:rsidRPr="00137A70" w:rsidRDefault="00752E4C" w:rsidP="00055A7C">
      <w:pPr>
        <w:pStyle w:val="QBO-Texte"/>
      </w:pPr>
      <w:r w:rsidRPr="00137A70">
        <w:t>L’objectif</w:t>
      </w:r>
      <w:r w:rsidR="00FC34AE" w:rsidRPr="00137A70">
        <w:t xml:space="preserve"> de la région Bretagne est une augmentation importante de la part des énergies renouvelables, atteignant 55% de la consommation finale brute d’énergie de la région en 2030. </w:t>
      </w:r>
      <w:r w:rsidRPr="00137A70">
        <w:t xml:space="preserve">Le PCAET de la </w:t>
      </w:r>
      <w:r w:rsidR="00137A70">
        <w:t>c</w:t>
      </w:r>
      <w:r w:rsidR="00CC22B1" w:rsidRPr="00137A70">
        <w:t>ommunauté d’agglomération</w:t>
      </w:r>
      <w:r w:rsidRPr="00137A70">
        <w:t xml:space="preserve"> envisage une augmentation</w:t>
      </w:r>
      <w:r w:rsidR="00FC34AE" w:rsidRPr="00137A70">
        <w:t xml:space="preserve"> </w:t>
      </w:r>
      <w:r w:rsidRPr="00137A70">
        <w:t xml:space="preserve">de la production locale d’énergies renouvelables, </w:t>
      </w:r>
      <w:r w:rsidR="00FC34AE" w:rsidRPr="00137A70">
        <w:t>cependant elle ne permettra pas d’atteindre l’objectif breton avec une part des ENR&amp;R représentant 1</w:t>
      </w:r>
      <w:r w:rsidR="00137A70">
        <w:t>8</w:t>
      </w:r>
      <w:r w:rsidRPr="00137A70">
        <w:t xml:space="preserve">% de la consommation d’énergie finale à l’horizon 2030. </w:t>
      </w:r>
    </w:p>
    <w:p w14:paraId="79E29EE5" w14:textId="5B1167D7" w:rsidR="003137DA" w:rsidRPr="00137A70" w:rsidRDefault="003137DA" w:rsidP="00055A7C">
      <w:pPr>
        <w:pStyle w:val="QBO-Texte"/>
      </w:pPr>
      <w:r w:rsidRPr="00137A70">
        <w:t xml:space="preserve">Les objectifs en matière de préservation des surfaces agricoles et forestières et de végétalisation sont non chiffrés par la </w:t>
      </w:r>
      <w:r w:rsidR="0082376C" w:rsidRPr="00137A70">
        <w:t>s</w:t>
      </w:r>
      <w:r w:rsidRPr="00137A70">
        <w:t xml:space="preserve">tratégie mais bien présents qualitativement. Ainsi, plusieurs orientations concernant le développement des circuits courts, la baisse des intrants, la hausse de la séquestration carbone (haies, prairies) et la mise en œuvre d’un PAT (Projet Alimentaire Territorial) sont présentés. </w:t>
      </w:r>
    </w:p>
    <w:p w14:paraId="05F6BC58" w14:textId="77777777" w:rsidR="003137DA" w:rsidRPr="00137A70" w:rsidRDefault="003137DA" w:rsidP="00055A7C">
      <w:pPr>
        <w:pStyle w:val="QBO-Texte"/>
      </w:pPr>
      <w:r w:rsidRPr="00137A70">
        <w:t>Le PCAET prévoit enfin dans sa stratégie de poursuivre les efforts en termes de recyclage et réemploi pour réduire le poids annuel des déchets par habitant.</w:t>
      </w:r>
    </w:p>
    <w:p w14:paraId="1CF18E7D" w14:textId="6A06159B" w:rsidR="00FC34AE" w:rsidRPr="00137A70" w:rsidRDefault="00FC34AE" w:rsidP="00055A7C">
      <w:pPr>
        <w:pStyle w:val="QBO-Texte"/>
        <w:rPr>
          <w:i/>
          <w:iCs/>
        </w:rPr>
      </w:pPr>
      <w:r w:rsidRPr="00137A70">
        <w:rPr>
          <w:i/>
          <w:iCs/>
        </w:rPr>
        <w:t xml:space="preserve">Le détail des attentes du cadre régional et des déclinaisons proposées dans le PCAET sont présentées au sein des autres documents du PCAET </w:t>
      </w:r>
      <w:r w:rsidR="00137A70" w:rsidRPr="00BF1071">
        <w:rPr>
          <w:i/>
          <w:iCs/>
        </w:rPr>
        <w:t>(</w:t>
      </w:r>
      <w:r w:rsidR="00137A70">
        <w:rPr>
          <w:i/>
          <w:iCs/>
        </w:rPr>
        <w:t xml:space="preserve">Rapport </w:t>
      </w:r>
      <w:r w:rsidR="00137A70" w:rsidRPr="00BF1071">
        <w:rPr>
          <w:i/>
          <w:iCs/>
        </w:rPr>
        <w:t>Stratégie et P</w:t>
      </w:r>
      <w:r w:rsidR="00137A70">
        <w:rPr>
          <w:i/>
          <w:iCs/>
        </w:rPr>
        <w:t>rogramme</w:t>
      </w:r>
      <w:r w:rsidR="00137A70" w:rsidRPr="00BF1071">
        <w:rPr>
          <w:i/>
          <w:iCs/>
        </w:rPr>
        <w:t xml:space="preserve"> d’Actions</w:t>
      </w:r>
      <w:r w:rsidR="00137A70">
        <w:rPr>
          <w:i/>
          <w:iCs/>
        </w:rPr>
        <w:t xml:space="preserve"> du PCAET</w:t>
      </w:r>
      <w:r w:rsidRPr="00137A70">
        <w:rPr>
          <w:i/>
          <w:iCs/>
        </w:rPr>
        <w:t>).</w:t>
      </w:r>
    </w:p>
    <w:p w14:paraId="7BC89843" w14:textId="6D632E9E" w:rsidR="009D5530" w:rsidRPr="00FC34AE" w:rsidRDefault="007E57EC" w:rsidP="00137A70">
      <w:pPr>
        <w:pStyle w:val="Titre2"/>
      </w:pPr>
      <w:bookmarkStart w:id="34" w:name="_Toc98841693"/>
      <w:bookmarkStart w:id="35" w:name="_Toc179277402"/>
      <w:r w:rsidRPr="00FC34AE">
        <w:t>L’articulation avec les autres documents de planification</w:t>
      </w:r>
      <w:bookmarkEnd w:id="34"/>
      <w:bookmarkEnd w:id="35"/>
      <w:r w:rsidRPr="00FC34AE">
        <w:t xml:space="preserve"> </w:t>
      </w:r>
    </w:p>
    <w:p w14:paraId="59862B63" w14:textId="77777777" w:rsidR="009D5530" w:rsidRPr="00137A70" w:rsidRDefault="007E57EC" w:rsidP="00055A7C">
      <w:pPr>
        <w:pStyle w:val="QBO-Texte"/>
      </w:pPr>
      <w:r w:rsidRPr="00137A70">
        <w:t>D’autres documents participent à la planification des politiques publiques, à l’échelle régionale, intercommunale ou communale. Ils peuvent utilement appuyer le PCAET dans sa déclinaison et rejoindre une partie de son plan d’actions.</w:t>
      </w:r>
    </w:p>
    <w:p w14:paraId="73EF4A4F" w14:textId="72BB223C" w:rsidR="002E16F5" w:rsidRPr="00137A70" w:rsidRDefault="007E57EC" w:rsidP="00D40A98">
      <w:pPr>
        <w:pStyle w:val="Titre3"/>
      </w:pPr>
      <w:bookmarkStart w:id="36" w:name="_Toc89854766"/>
      <w:bookmarkStart w:id="37" w:name="_Toc98841694"/>
      <w:bookmarkStart w:id="38" w:name="_Toc179277403"/>
      <w:r w:rsidRPr="00137A70">
        <w:t>Déchets</w:t>
      </w:r>
      <w:bookmarkEnd w:id="36"/>
      <w:bookmarkEnd w:id="37"/>
      <w:bookmarkEnd w:id="38"/>
    </w:p>
    <w:p w14:paraId="6C433E53" w14:textId="59DBF83E" w:rsidR="00325AFB" w:rsidRPr="00137A70" w:rsidRDefault="002E16F5" w:rsidP="00055A7C">
      <w:pPr>
        <w:pStyle w:val="QBO-Texte"/>
      </w:pPr>
      <w:r w:rsidRPr="00137A70">
        <w:t xml:space="preserve">Le </w:t>
      </w:r>
      <w:r w:rsidRPr="00137A70">
        <w:rPr>
          <w:b/>
          <w:bCs/>
        </w:rPr>
        <w:t>Plan Régional Prévention et de Gestion des Déchets (PRPGD)</w:t>
      </w:r>
      <w:r w:rsidRPr="00137A70">
        <w:t xml:space="preserve"> a été approuvé par le Conseil Régional </w:t>
      </w:r>
      <w:r w:rsidR="00325AFB" w:rsidRPr="00137A70">
        <w:t>de Bretagne</w:t>
      </w:r>
      <w:r w:rsidRPr="00137A70">
        <w:t xml:space="preserve"> le 2</w:t>
      </w:r>
      <w:r w:rsidR="00325AFB" w:rsidRPr="00137A70">
        <w:t>3</w:t>
      </w:r>
      <w:r w:rsidRPr="00137A70">
        <w:t xml:space="preserve"> </w:t>
      </w:r>
      <w:r w:rsidR="00325AFB" w:rsidRPr="00137A70">
        <w:t>mars 2020</w:t>
      </w:r>
      <w:r w:rsidRPr="00137A70">
        <w:t xml:space="preserve">. </w:t>
      </w:r>
      <w:r w:rsidR="00325AFB" w:rsidRPr="00137A70">
        <w:t xml:space="preserve">Il </w:t>
      </w:r>
      <w:r w:rsidRPr="00137A70">
        <w:t>vise à coordonner les actions entreprises par l’ensemble des acteurs du territoire concernés par la prévention et la gestion des déchets. Il s’adresse ainsi aussi bien aux collectivités et aux entreprises, qu’aux administrations, éco-organismes et habitants.</w:t>
      </w:r>
      <w:r w:rsidR="00325AFB" w:rsidRPr="00137A70">
        <w:t xml:space="preserve"> </w:t>
      </w:r>
      <w:r w:rsidR="00D40A98">
        <w:t>Le</w:t>
      </w:r>
      <w:r w:rsidR="00325AFB" w:rsidRPr="00137A70">
        <w:t xml:space="preserve"> plan vise à produire moins de déchets, à mieux trier et à valoriser les déchets produits, dans l’objectif d’atteindre le « zéro enfouissement » d’ici 2030 et le « </w:t>
      </w:r>
      <w:hyperlink r:id="rId54" w:tgtFrame="_blank" w:history="1">
        <w:r w:rsidR="00325AFB" w:rsidRPr="00137A70">
          <w:t>zéro déchet</w:t>
        </w:r>
      </w:hyperlink>
      <w:r w:rsidR="00325AFB" w:rsidRPr="00137A70">
        <w:t> » d’ici 2040, conformément au 24</w:t>
      </w:r>
      <w:r w:rsidR="00325AFB" w:rsidRPr="00D40A98">
        <w:rPr>
          <w:vertAlign w:val="superscript"/>
        </w:rPr>
        <w:t>ème</w:t>
      </w:r>
      <w:r w:rsidR="00D40A98">
        <w:t xml:space="preserve"> </w:t>
      </w:r>
      <w:r w:rsidR="00325AFB" w:rsidRPr="00137A70">
        <w:t>objectif de la </w:t>
      </w:r>
      <w:proofErr w:type="spellStart"/>
      <w:r w:rsidR="00325AFB" w:rsidRPr="00137A70">
        <w:fldChar w:fldCharType="begin"/>
      </w:r>
      <w:r w:rsidR="00325AFB" w:rsidRPr="00137A70">
        <w:instrText>HYPERLINK "https://www.bretagne.bzh/actions/grands-projets/breizhcop/" \t "_blank"</w:instrText>
      </w:r>
      <w:r w:rsidR="00325AFB" w:rsidRPr="00137A70">
        <w:fldChar w:fldCharType="separate"/>
      </w:r>
      <w:r w:rsidR="00325AFB" w:rsidRPr="00137A70">
        <w:t>BreizhCOP</w:t>
      </w:r>
      <w:proofErr w:type="spellEnd"/>
      <w:r w:rsidR="00325AFB" w:rsidRPr="00137A70">
        <w:fldChar w:fldCharType="end"/>
      </w:r>
      <w:r w:rsidR="00325AFB" w:rsidRPr="00137A70">
        <w:t> adopté par la Région Bretagne en décembre 2018.</w:t>
      </w:r>
    </w:p>
    <w:p w14:paraId="6DB90DD9" w14:textId="2E5CA693" w:rsidR="002E16F5" w:rsidRPr="00137A70" w:rsidRDefault="00513BB2" w:rsidP="00D40A98">
      <w:pPr>
        <w:pStyle w:val="Titre3"/>
      </w:pPr>
      <w:bookmarkStart w:id="39" w:name="_Toc179277404"/>
      <w:r w:rsidRPr="00137A70">
        <w:t>Eau</w:t>
      </w:r>
      <w:bookmarkEnd w:id="39"/>
    </w:p>
    <w:p w14:paraId="474DF38B" w14:textId="31E492D7" w:rsidR="00513BB2" w:rsidRPr="00137A70" w:rsidRDefault="002E16F5" w:rsidP="00055A7C">
      <w:pPr>
        <w:pStyle w:val="QBO-Texte"/>
      </w:pPr>
      <w:r w:rsidRPr="00137A70">
        <w:t xml:space="preserve">Le </w:t>
      </w:r>
      <w:r w:rsidRPr="00137A70">
        <w:rPr>
          <w:b/>
          <w:bCs/>
        </w:rPr>
        <w:t>Schéma Directeur d'Aménagement et de Gestion des Eaux (SDAGE)</w:t>
      </w:r>
      <w:r w:rsidRPr="00137A70">
        <w:t xml:space="preserve"> 2022-2027 </w:t>
      </w:r>
      <w:r w:rsidR="00513BB2" w:rsidRPr="00137A70">
        <w:t xml:space="preserve">Loire-Bretagne a été adopté le 3 mars. Ce schéma a été créé dans l’optique d’atteindre les objectifs nationaux en termes de disponibilité et de qualité de la ressource en eau. Le SDAGE Loire-Bretagne définit 14 orientations (réduire la pollution par les nitrates, préserver et restaurer les zones humides, etc.) et l’enjeu </w:t>
      </w:r>
      <w:r w:rsidRPr="00137A70">
        <w:t>du changement climatique est clairement identifié</w:t>
      </w:r>
      <w:r w:rsidR="00513BB2" w:rsidRPr="00137A70">
        <w:t xml:space="preserve"> au sein de ses objectifs.</w:t>
      </w:r>
    </w:p>
    <w:p w14:paraId="04656F74" w14:textId="097A0938" w:rsidR="00513BB2" w:rsidRPr="00137A70" w:rsidRDefault="00513BB2" w:rsidP="00055A7C">
      <w:pPr>
        <w:pStyle w:val="QBO-Texte"/>
      </w:pPr>
      <w:r w:rsidRPr="00137A70">
        <w:t xml:space="preserve">Le </w:t>
      </w:r>
      <w:r w:rsidRPr="00137A70">
        <w:rPr>
          <w:b/>
          <w:bCs/>
        </w:rPr>
        <w:t>Schéma d'Aménagement et de Gestion des Eaux (</w:t>
      </w:r>
      <w:r w:rsidRPr="00137A70">
        <w:t xml:space="preserve">SAGE) décline localement les orientations du SDAGE au travers de son </w:t>
      </w:r>
      <w:r w:rsidRPr="00137A70">
        <w:rPr>
          <w:b/>
          <w:bCs/>
        </w:rPr>
        <w:t xml:space="preserve">Plan d’Aménagement et de Gestion Durable </w:t>
      </w:r>
      <w:r w:rsidRPr="00137A70">
        <w:t>(PAGD).</w:t>
      </w:r>
    </w:p>
    <w:p w14:paraId="060D0317" w14:textId="143B3AC0" w:rsidR="00513BB2" w:rsidRPr="00137A70" w:rsidRDefault="00513BB2" w:rsidP="00D40A98">
      <w:pPr>
        <w:pStyle w:val="Titre3"/>
      </w:pPr>
      <w:bookmarkStart w:id="40" w:name="_Toc179277405"/>
      <w:r w:rsidRPr="00137A70">
        <w:t>Environnement / biodiversité</w:t>
      </w:r>
      <w:bookmarkEnd w:id="40"/>
    </w:p>
    <w:p w14:paraId="6D4F9826" w14:textId="1CEA0452" w:rsidR="009D5530" w:rsidRPr="00137A70" w:rsidRDefault="007E57EC" w:rsidP="00055A7C">
      <w:pPr>
        <w:pStyle w:val="QBO-Texte"/>
      </w:pPr>
      <w:r w:rsidRPr="00137A70">
        <w:t>Le</w:t>
      </w:r>
      <w:r w:rsidRPr="00137A70">
        <w:rPr>
          <w:b/>
          <w:bCs/>
        </w:rPr>
        <w:t xml:space="preserve"> Schéma Régional de Cohérence Ecologique (SRCE) </w:t>
      </w:r>
      <w:r w:rsidRPr="00137A70">
        <w:t xml:space="preserve">a été mis en place dans le cadre de la démarche concertée du Grenelle de l’environnement. Le SRCE est le volet régional de la trame verte et bleue qui a pour objet principal la préservation et la remise en bon état des continuités écologiques. Il identifie les composantes de la trame verte et bleue (réservoirs de biodiversité, corridors écologiques, cours d’eau et canaux, obstacles au fonctionnement des continuités écologiques). Il identifie également les enjeux régionaux de préservation et de restauration des continuités écologiques, et définit les priorités régionales dans un plan d’action stratégique. Il propose les outils adaptés pour la mise en </w:t>
      </w:r>
      <w:r w:rsidRPr="00137A70">
        <w:lastRenderedPageBreak/>
        <w:t xml:space="preserve">œuvre de ce plan d’action. </w:t>
      </w:r>
      <w:r w:rsidR="00513BB2" w:rsidRPr="00137A70">
        <w:t>La trame verte et bleue du territoire du SCoT de l’Odet permet de présenter plus finement les corridors écologiques du territoire de Quimper Bretagne Occidentale.</w:t>
      </w:r>
    </w:p>
    <w:p w14:paraId="218CCF2F" w14:textId="77777777" w:rsidR="009D5530" w:rsidRPr="00137A70" w:rsidRDefault="007E57EC" w:rsidP="00D40A98">
      <w:pPr>
        <w:pStyle w:val="Titre3"/>
      </w:pPr>
      <w:bookmarkStart w:id="41" w:name="_Toc89854768"/>
      <w:bookmarkStart w:id="42" w:name="_Toc98841696"/>
      <w:bookmarkStart w:id="43" w:name="_Toc179277406"/>
      <w:r w:rsidRPr="00137A70">
        <w:t>Développement économique</w:t>
      </w:r>
      <w:bookmarkEnd w:id="41"/>
      <w:bookmarkEnd w:id="42"/>
      <w:bookmarkEnd w:id="43"/>
    </w:p>
    <w:p w14:paraId="31F50EC6" w14:textId="35880663" w:rsidR="009D5530" w:rsidRPr="00D40A98" w:rsidRDefault="007E57EC" w:rsidP="00055A7C">
      <w:pPr>
        <w:pStyle w:val="QBO-Texte"/>
      </w:pPr>
      <w:r w:rsidRPr="00137A70">
        <w:t xml:space="preserve">La </w:t>
      </w:r>
      <w:r w:rsidRPr="00D40A98">
        <w:t xml:space="preserve">Région </w:t>
      </w:r>
      <w:r w:rsidR="00DA2E33" w:rsidRPr="00D40A98">
        <w:t>Bretagne</w:t>
      </w:r>
      <w:r w:rsidRPr="00D40A98">
        <w:t xml:space="preserve"> s</w:t>
      </w:r>
      <w:r w:rsidR="00DA2E33" w:rsidRPr="00D40A98">
        <w:t>’est</w:t>
      </w:r>
      <w:r w:rsidRPr="00D40A98">
        <w:t xml:space="preserve"> dot</w:t>
      </w:r>
      <w:r w:rsidR="00DA2E33" w:rsidRPr="00D40A98">
        <w:t>ée</w:t>
      </w:r>
      <w:r w:rsidRPr="00D40A98">
        <w:t xml:space="preserve"> d’une stratégie économique globale pour la période 20</w:t>
      </w:r>
      <w:r w:rsidR="00DA2E33" w:rsidRPr="00D40A98">
        <w:t>14</w:t>
      </w:r>
      <w:r w:rsidRPr="00D40A98">
        <w:t>-202</w:t>
      </w:r>
      <w:r w:rsidR="00DA2E33" w:rsidRPr="00D40A98">
        <w:t>0</w:t>
      </w:r>
      <w:r w:rsidRPr="00D40A98">
        <w:t xml:space="preserve"> via le </w:t>
      </w:r>
      <w:r w:rsidRPr="00D40A98">
        <w:rPr>
          <w:b/>
          <w:bCs/>
        </w:rPr>
        <w:t>Schéma Régional de Développement Economique, d’Innovation et d’Internationalisation (SRDEII</w:t>
      </w:r>
      <w:r w:rsidR="00DA2E33" w:rsidRPr="00D40A98">
        <w:rPr>
          <w:b/>
          <w:bCs/>
        </w:rPr>
        <w:t>)</w:t>
      </w:r>
      <w:r w:rsidR="00DA2E33" w:rsidRPr="00D40A98">
        <w:t xml:space="preserve">. Ce dernier </w:t>
      </w:r>
      <w:r w:rsidRPr="00D40A98">
        <w:t>a l’ambition de renouveler en profondeur l’action régionale au service de la croissance, de l’emploi et de l’innovation.</w:t>
      </w:r>
    </w:p>
    <w:p w14:paraId="21448D76" w14:textId="77777777" w:rsidR="009D5530" w:rsidRPr="00D40A98" w:rsidRDefault="007E57EC" w:rsidP="00D40A98">
      <w:pPr>
        <w:pStyle w:val="Titre3"/>
        <w:jc w:val="both"/>
      </w:pPr>
      <w:bookmarkStart w:id="44" w:name="_Toc89854769"/>
      <w:bookmarkStart w:id="45" w:name="_Toc98841697"/>
      <w:bookmarkStart w:id="46" w:name="_Toc179277407"/>
      <w:r w:rsidRPr="00D40A98">
        <w:t>Santé</w:t>
      </w:r>
      <w:bookmarkEnd w:id="44"/>
      <w:bookmarkEnd w:id="45"/>
      <w:bookmarkEnd w:id="46"/>
    </w:p>
    <w:p w14:paraId="6D7FD2E3" w14:textId="5AD868BC" w:rsidR="00824AFD" w:rsidRPr="00D40A98" w:rsidRDefault="007E57EC" w:rsidP="00055A7C">
      <w:pPr>
        <w:pStyle w:val="QBO-Texte"/>
      </w:pPr>
      <w:r w:rsidRPr="00D40A98">
        <w:t xml:space="preserve">Le </w:t>
      </w:r>
      <w:r w:rsidRPr="00D40A98">
        <w:rPr>
          <w:b/>
          <w:bCs/>
        </w:rPr>
        <w:t xml:space="preserve">Plan Régional Santé Environnement </w:t>
      </w:r>
      <w:r w:rsidR="00824AFD" w:rsidRPr="00D40A98">
        <w:rPr>
          <w:b/>
          <w:bCs/>
        </w:rPr>
        <w:t>de Bretagne</w:t>
      </w:r>
      <w:r w:rsidRPr="00D40A98">
        <w:rPr>
          <w:b/>
          <w:bCs/>
        </w:rPr>
        <w:t xml:space="preserve"> (PRSE</w:t>
      </w:r>
      <w:r w:rsidR="00824AFD" w:rsidRPr="00D40A98">
        <w:rPr>
          <w:b/>
          <w:bCs/>
        </w:rPr>
        <w:t>4</w:t>
      </w:r>
      <w:r w:rsidRPr="00D40A98">
        <w:rPr>
          <w:b/>
          <w:bCs/>
        </w:rPr>
        <w:t>)</w:t>
      </w:r>
      <w:r w:rsidRPr="00D40A98">
        <w:t xml:space="preserve"> 20</w:t>
      </w:r>
      <w:r w:rsidR="00824AFD" w:rsidRPr="00D40A98">
        <w:t>23</w:t>
      </w:r>
      <w:r w:rsidRPr="00D40A98">
        <w:t>-202</w:t>
      </w:r>
      <w:r w:rsidR="00824AFD" w:rsidRPr="00D40A98">
        <w:t>7</w:t>
      </w:r>
      <w:r w:rsidRPr="00D40A98">
        <w:t xml:space="preserve">, </w:t>
      </w:r>
      <w:r w:rsidR="00824AFD" w:rsidRPr="00D40A98">
        <w:t xml:space="preserve">constitue le cadre de référence de l’action en santé environnement en Bretagne. Approuvé le 22 décembre 2023, il </w:t>
      </w:r>
      <w:r w:rsidRPr="00D40A98">
        <w:t xml:space="preserve">s’articule autour de 4 axes stratégiques, qui sont : </w:t>
      </w:r>
    </w:p>
    <w:p w14:paraId="1A6BFC60" w14:textId="585D0555" w:rsidR="00824AFD" w:rsidRPr="00D40A98" w:rsidRDefault="00824AFD" w:rsidP="00055A7C">
      <w:pPr>
        <w:pStyle w:val="QBO-Puces1"/>
      </w:pPr>
      <w:r w:rsidRPr="00D40A98">
        <w:t>La protection de la santé en agissant sur les déterminants environnementaux ;</w:t>
      </w:r>
    </w:p>
    <w:p w14:paraId="3BBDA533" w14:textId="2D5CAB00" w:rsidR="00824AFD" w:rsidRPr="00D40A98" w:rsidRDefault="00824AFD" w:rsidP="00055A7C">
      <w:pPr>
        <w:pStyle w:val="QBO-Puces1"/>
      </w:pPr>
      <w:r w:rsidRPr="00D40A98">
        <w:t>La prise en compte des impacts sanitaires et sociaux du changement climatique ;</w:t>
      </w:r>
    </w:p>
    <w:p w14:paraId="75776373" w14:textId="4EBDC165" w:rsidR="00824AFD" w:rsidRPr="00D40A98" w:rsidRDefault="00824AFD" w:rsidP="00055A7C">
      <w:pPr>
        <w:pStyle w:val="QBO-Puces1"/>
      </w:pPr>
      <w:r w:rsidRPr="00D40A98">
        <w:t xml:space="preserve">Une approche unifiée autour du concept de « One </w:t>
      </w:r>
      <w:proofErr w:type="spellStart"/>
      <w:r w:rsidRPr="00D40A98">
        <w:t>Health</w:t>
      </w:r>
      <w:proofErr w:type="spellEnd"/>
      <w:r w:rsidRPr="00D40A98">
        <w:t> », ou « Une seule santé », intégrant la santé humaine, la santé animale et la santé des écosystèmes ;</w:t>
      </w:r>
    </w:p>
    <w:p w14:paraId="76B88FD3" w14:textId="60B319A7" w:rsidR="00824AFD" w:rsidRPr="00D40A98" w:rsidRDefault="00824AFD" w:rsidP="00055A7C">
      <w:pPr>
        <w:pStyle w:val="QBO-Puces1"/>
      </w:pPr>
      <w:r w:rsidRPr="00D40A98">
        <w:t>La réduction des inégalités sociales, environnementales et territoriales.</w:t>
      </w:r>
    </w:p>
    <w:p w14:paraId="45230E0D" w14:textId="77777777" w:rsidR="009D5530" w:rsidRPr="00DA2E33" w:rsidRDefault="007E57EC" w:rsidP="00D40A98">
      <w:pPr>
        <w:pStyle w:val="Titre3"/>
      </w:pPr>
      <w:bookmarkStart w:id="47" w:name="_Toc89854771"/>
      <w:bookmarkStart w:id="48" w:name="_Toc98841699"/>
      <w:bookmarkStart w:id="49" w:name="_Toc179277408"/>
      <w:r w:rsidRPr="00DA2E33">
        <w:t>Réseaux</w:t>
      </w:r>
      <w:bookmarkEnd w:id="47"/>
      <w:bookmarkEnd w:id="48"/>
      <w:bookmarkEnd w:id="49"/>
    </w:p>
    <w:p w14:paraId="6CDEEB40" w14:textId="63FB547A" w:rsidR="009D5530" w:rsidRPr="00D40A98" w:rsidRDefault="007E57EC" w:rsidP="00055A7C">
      <w:pPr>
        <w:pStyle w:val="QBO-Texte"/>
      </w:pPr>
      <w:r w:rsidRPr="00D40A98">
        <w:t xml:space="preserve">La loi n° 2010-788 du 12 juillet 2010, dite « loi Grenelle II », a institué le </w:t>
      </w:r>
      <w:r w:rsidRPr="00D40A98">
        <w:rPr>
          <w:b/>
          <w:bCs/>
        </w:rPr>
        <w:t>Schéma Régional de Raccordement au Réseau des Energies Renouvelables (S3REnr)</w:t>
      </w:r>
      <w:r w:rsidRPr="00D40A98">
        <w:t xml:space="preserve">. </w:t>
      </w:r>
      <w:r w:rsidR="00824AFD" w:rsidRPr="00D40A98">
        <w:t>Celui</w:t>
      </w:r>
      <w:r w:rsidRPr="00D40A98">
        <w:t xml:space="preserve"> de la région </w:t>
      </w:r>
      <w:r w:rsidR="00824AFD" w:rsidRPr="00D40A98">
        <w:t>Bretagne</w:t>
      </w:r>
      <w:r w:rsidRPr="00D40A98">
        <w:t xml:space="preserve"> date d</w:t>
      </w:r>
      <w:r w:rsidR="00824AFD" w:rsidRPr="00D40A98">
        <w:t>’Avril 2019</w:t>
      </w:r>
      <w:r w:rsidRPr="00D40A98">
        <w:t>. Il affine les données et les objectifs du SR</w:t>
      </w:r>
      <w:r w:rsidR="00DA2E33" w:rsidRPr="00D40A98">
        <w:t>ADDET</w:t>
      </w:r>
      <w:r w:rsidRPr="00D40A98">
        <w:t xml:space="preserve">, quantifie et identifie la localisation des gisements d’énergies renouvelables pour chaque poste, et identifie les contraintes éventuelles de raccordement. </w:t>
      </w:r>
    </w:p>
    <w:p w14:paraId="1A8C6F22" w14:textId="12F38714" w:rsidR="00DA2E33" w:rsidRPr="00D40A98" w:rsidRDefault="00DA2E33" w:rsidP="00055A7C">
      <w:pPr>
        <w:pStyle w:val="QBO-Texte"/>
      </w:pPr>
      <w:r w:rsidRPr="00D40A98">
        <w:t>Document d’urbanisme et de planification, l</w:t>
      </w:r>
      <w:r w:rsidR="007E57EC" w:rsidRPr="00D40A98">
        <w:t xml:space="preserve">e </w:t>
      </w:r>
      <w:r w:rsidR="007E57EC" w:rsidRPr="00D40A98">
        <w:rPr>
          <w:b/>
          <w:bCs/>
        </w:rPr>
        <w:t>Schéma de Cohérence Territoriale</w:t>
      </w:r>
      <w:r w:rsidR="007E57EC" w:rsidRPr="00D40A98">
        <w:t xml:space="preserve"> (SCoT)</w:t>
      </w:r>
      <w:r w:rsidRPr="00D40A98">
        <w:t xml:space="preserve"> définit le développement d’un territoire à 20 ans. Approuvé le 06 juin 2012 pour une mise en œuvre sur la période 2012-2018, le SCoT est actuellement en révision avec une dossier d’arrêt prévu début 2025. Le territoire du SCoT de l’Odet regroupe 2 établissements publics de coopération intercommunale</w:t>
      </w:r>
      <w:r w:rsidR="00D40A98">
        <w:t>,</w:t>
      </w:r>
      <w:r w:rsidRPr="00D40A98">
        <w:t xml:space="preserve"> soit environ 127 000 personnes.</w:t>
      </w:r>
    </w:p>
    <w:p w14:paraId="2F70BB68" w14:textId="77777777" w:rsidR="009D5530" w:rsidRPr="005B0F2C" w:rsidRDefault="007E57EC" w:rsidP="00D40A98">
      <w:pPr>
        <w:pStyle w:val="Titre2"/>
      </w:pPr>
      <w:bookmarkStart w:id="50" w:name="_Toc98841700"/>
      <w:bookmarkStart w:id="51" w:name="_Toc179277409"/>
      <w:r w:rsidRPr="005B0F2C">
        <w:t>Les documents de rang inférieur qui doivent prendre en compte le PCAET</w:t>
      </w:r>
      <w:bookmarkEnd w:id="50"/>
      <w:bookmarkEnd w:id="51"/>
    </w:p>
    <w:p w14:paraId="12D23FAE" w14:textId="77777777" w:rsidR="009D5530" w:rsidRPr="005B0F2C" w:rsidRDefault="007E57EC" w:rsidP="00055A7C">
      <w:pPr>
        <w:pStyle w:val="QBO-Texte"/>
      </w:pPr>
      <w:r w:rsidRPr="005B0F2C">
        <w:t xml:space="preserve">Un certain nombre de documents doivent, à leur tour, être compatibles avec le PCAET, et à ce titre respecter les orientations que celui-ci fixe. Le plus emblématique est le </w:t>
      </w:r>
      <w:r w:rsidRPr="00F2761A">
        <w:rPr>
          <w:b/>
          <w:bCs/>
        </w:rPr>
        <w:t>Plan Local d’Urbanisme</w:t>
      </w:r>
      <w:r w:rsidRPr="005B0F2C">
        <w:t xml:space="preserve"> (PLU) (éventuellement intercommunal), lequel agit directement sur les droits à construire. </w:t>
      </w:r>
    </w:p>
    <w:p w14:paraId="26E1A0D9" w14:textId="3F81C8AA" w:rsidR="009D5530" w:rsidRPr="005B0F2C" w:rsidRDefault="007E57EC" w:rsidP="00055A7C">
      <w:pPr>
        <w:pStyle w:val="QBO-Texte"/>
      </w:pPr>
      <w:r w:rsidRPr="005B0F2C">
        <w:t xml:space="preserve">Le PLU </w:t>
      </w:r>
      <w:r w:rsidR="00D40A98">
        <w:t>dispose d’un champ d’action</w:t>
      </w:r>
      <w:r w:rsidRPr="005B0F2C">
        <w:t xml:space="preserve"> sur les normes et formes des constructions, l’ensemble des nouveaux permis de construire, d’aménagement et de démolir devant respecter strictement le règlement écrit et le plan de zonage défini. Ils doivent également être compatibles (prise en compte non stricte) avec son Projet d’Aménagement et de Développement Durable (PADD), lequel peut définir des orientations plus larges en termes d’ambiance urbaine (éclairage, voiries, etc.), de mixité des fonctions ou encore d’intégration de la nature en ville. </w:t>
      </w:r>
    </w:p>
    <w:p w14:paraId="38E465DF" w14:textId="77777777" w:rsidR="009D5530" w:rsidRPr="005B0F2C" w:rsidRDefault="007E57EC" w:rsidP="00055A7C">
      <w:pPr>
        <w:pStyle w:val="QBO-Texte"/>
      </w:pPr>
      <w:r w:rsidRPr="005B0F2C">
        <w:t>La transcription de certains objectifs du PCAET dans les PLU est donc une opportunité de mise en œuvre concrète à ne pas négliger, et assurant sa prise en compte sur le court et moyen terme.</w:t>
      </w:r>
    </w:p>
    <w:p w14:paraId="2D24E8F7" w14:textId="1D214CCD" w:rsidR="009D5530" w:rsidRPr="00F2761A" w:rsidRDefault="007E57EC" w:rsidP="00055A7C">
      <w:pPr>
        <w:pStyle w:val="QBO-Texte"/>
      </w:pPr>
      <w:r w:rsidRPr="00F2761A">
        <w:rPr>
          <w:b/>
          <w:bCs/>
        </w:rPr>
        <w:t xml:space="preserve">Le </w:t>
      </w:r>
      <w:r w:rsidR="00F2761A">
        <w:rPr>
          <w:b/>
          <w:bCs/>
        </w:rPr>
        <w:t xml:space="preserve">Plan Locale de l’Habitat </w:t>
      </w:r>
      <w:r w:rsidR="00F2761A" w:rsidRPr="00F2761A">
        <w:t>(</w:t>
      </w:r>
      <w:r w:rsidRPr="00F2761A">
        <w:t>PL</w:t>
      </w:r>
      <w:r w:rsidR="00FC34AE" w:rsidRPr="00F2761A">
        <w:t>H</w:t>
      </w:r>
      <w:r w:rsidR="00F2761A" w:rsidRPr="00F2761A">
        <w:t>)</w:t>
      </w:r>
      <w:r w:rsidR="00FC34AE" w:rsidRPr="00F2761A">
        <w:t xml:space="preserve"> </w:t>
      </w:r>
      <w:r w:rsidRPr="00F2761A">
        <w:t xml:space="preserve">fixe une programmation en termes de production de logements neufs, de sortie de logements de la vacance, de réduction des logements indignes, et plus globalement de rénovation du parc existant. Il doit également prendre en compte le PCAET lors de son élaboration. </w:t>
      </w:r>
    </w:p>
    <w:p w14:paraId="7C0A141C" w14:textId="77777777" w:rsidR="009D5530" w:rsidRPr="00B030EC" w:rsidRDefault="007E57EC" w:rsidP="00DC099E">
      <w:pPr>
        <w:pStyle w:val="SGBDS-Titre1"/>
      </w:pPr>
      <w:bookmarkStart w:id="52" w:name="_Toc179277410"/>
      <w:r w:rsidRPr="00B030EC">
        <w:lastRenderedPageBreak/>
        <w:t>Evaluation des effets du PCAET sur l’environnement</w:t>
      </w:r>
      <w:bookmarkEnd w:id="52"/>
    </w:p>
    <w:p w14:paraId="29B261D8" w14:textId="77777777" w:rsidR="009D5530" w:rsidRPr="00B030EC" w:rsidRDefault="007E57EC" w:rsidP="00D40A98">
      <w:pPr>
        <w:pStyle w:val="Titre2"/>
      </w:pPr>
      <w:bookmarkStart w:id="53" w:name="_Toc179277411"/>
      <w:r w:rsidRPr="00B030EC">
        <w:t>Analyse des incidences environnementales de la stratégie</w:t>
      </w:r>
      <w:bookmarkEnd w:id="53"/>
    </w:p>
    <w:p w14:paraId="3B60760F" w14:textId="1076244E" w:rsidR="009D5530" w:rsidRPr="00D40A98" w:rsidRDefault="007E57EC" w:rsidP="00055A7C">
      <w:pPr>
        <w:pStyle w:val="QBO-Texte"/>
      </w:pPr>
      <w:r w:rsidRPr="00D40A98">
        <w:t xml:space="preserve">La stratégie du PCAET de la </w:t>
      </w:r>
      <w:r w:rsidR="00D40A98">
        <w:t>c</w:t>
      </w:r>
      <w:r w:rsidR="00CC22B1" w:rsidRPr="00D40A98">
        <w:t>ommunauté d’agglomération</w:t>
      </w:r>
      <w:r w:rsidRPr="00D40A98">
        <w:t xml:space="preserve"> de </w:t>
      </w:r>
      <w:r w:rsidR="00D40A98">
        <w:t>Quimper Bretagne Occidentale</w:t>
      </w:r>
      <w:r w:rsidRPr="00D40A98">
        <w:t xml:space="preserve"> s’est attachée à répondre de manière prioritaire aux enjeux de la </w:t>
      </w:r>
      <w:r w:rsidR="00F2761A" w:rsidRPr="00D40A98">
        <w:t xml:space="preserve">baisse des émissions de gaz à effet de serre </w:t>
      </w:r>
      <w:r w:rsidRPr="00D40A98">
        <w:t xml:space="preserve">et du développement des énergies renouvelables et de récupération (ENR&amp;R). </w:t>
      </w:r>
    </w:p>
    <w:p w14:paraId="018A5BD0" w14:textId="662CFFE3" w:rsidR="00B030EC" w:rsidRPr="00D40A98" w:rsidRDefault="00B030EC" w:rsidP="00D40A98">
      <w:pPr>
        <w:pStyle w:val="QBO-Texte"/>
        <w:rPr>
          <w:rFonts w:ascii="Arial" w:hAnsi="Arial"/>
          <w:color w:val="000000" w:themeColor="background1"/>
          <w:kern w:val="0"/>
          <w:lang w:eastAsia="fr-FR"/>
          <w14:ligatures w14:val="none"/>
        </w:rPr>
      </w:pPr>
      <w:r w:rsidRPr="00D40A98">
        <w:rPr>
          <w:rFonts w:ascii="Arial" w:hAnsi="Arial"/>
          <w:color w:val="000000" w:themeColor="background1"/>
          <w:kern w:val="0"/>
          <w:lang w:eastAsia="fr-FR"/>
          <w14:ligatures w14:val="none"/>
        </w:rPr>
        <w:t xml:space="preserve">Afin d’assurer la bonne mise en œuvre de la transition sur le territoire, la </w:t>
      </w:r>
      <w:r w:rsidR="00CC22B1" w:rsidRPr="00D40A98">
        <w:rPr>
          <w:rFonts w:ascii="Arial" w:hAnsi="Arial"/>
          <w:color w:val="000000" w:themeColor="background1"/>
          <w:kern w:val="0"/>
          <w:lang w:eastAsia="fr-FR"/>
          <w14:ligatures w14:val="none"/>
        </w:rPr>
        <w:t>communauté d’agglomération</w:t>
      </w:r>
      <w:r w:rsidRPr="00D40A98">
        <w:rPr>
          <w:rFonts w:ascii="Arial" w:hAnsi="Arial"/>
          <w:color w:val="000000" w:themeColor="background1"/>
          <w:kern w:val="0"/>
          <w:lang w:eastAsia="fr-FR"/>
          <w14:ligatures w14:val="none"/>
        </w:rPr>
        <w:t xml:space="preserve"> de Quimper Bretagne Occidentale, au travers de son PCAET, a cherché à définir une stratégie territoriale basée sur l’identification de priorités et d’objectifs adaptés au territoire intercommunal. Cette volonté est passée par la définition d’objectifs quantifiés pour chaque secteur réglementaire, permettant de tendre vers les engagements nationaux et régionaux en matière de réduction des émissions de gaz à effet de serre, de réduction de la consommation d’énergie, d’amélioration de la qualité de l’air, de développement des énergies renouvelables locales et d’adaptation aux effets du changement climatique. </w:t>
      </w:r>
    </w:p>
    <w:p w14:paraId="07DE7EFF" w14:textId="66722B38" w:rsidR="00B030EC" w:rsidRPr="00D40A98" w:rsidRDefault="00B030EC" w:rsidP="00055A7C">
      <w:pPr>
        <w:pStyle w:val="QBO-Texte"/>
      </w:pPr>
      <w:r w:rsidRPr="00D40A98">
        <w:t xml:space="preserve">La stratégie du PCAET de la </w:t>
      </w:r>
      <w:r w:rsidR="00D40A98">
        <w:t>c</w:t>
      </w:r>
      <w:r w:rsidR="00CC22B1" w:rsidRPr="00D40A98">
        <w:t>ommunauté d’agglomération</w:t>
      </w:r>
      <w:r w:rsidRPr="00D40A98">
        <w:t xml:space="preserve"> de Quimper Bretagne Occidentale s’est attachée à construire une stratégie cohérente et ambitieuse, sur l’ensemble des secteurs d’activités, en prenant en compte les spécificités du territoire. Cette stratégie se nomme « </w:t>
      </w:r>
      <w:r w:rsidRPr="00D40A98">
        <w:rPr>
          <w:i/>
          <w:iCs/>
        </w:rPr>
        <w:t>QBO 2050</w:t>
      </w:r>
      <w:r w:rsidRPr="00D40A98">
        <w:t xml:space="preserve"> ». </w:t>
      </w:r>
    </w:p>
    <w:p w14:paraId="5FCD603E" w14:textId="77777777" w:rsidR="009D5530" w:rsidRPr="00B030EC" w:rsidRDefault="007E57EC" w:rsidP="0026244C">
      <w:pPr>
        <w:pStyle w:val="Titre3"/>
      </w:pPr>
      <w:bookmarkStart w:id="54" w:name="_Toc89854775"/>
      <w:bookmarkStart w:id="55" w:name="_Toc179277412"/>
      <w:r w:rsidRPr="00B030EC">
        <w:t>Présentation des deux scénarios</w:t>
      </w:r>
      <w:bookmarkEnd w:id="54"/>
      <w:bookmarkEnd w:id="55"/>
    </w:p>
    <w:p w14:paraId="47F340CE" w14:textId="77777777" w:rsidR="0026244C" w:rsidRDefault="0026244C" w:rsidP="00055A7C">
      <w:pPr>
        <w:pStyle w:val="QBO-Texte"/>
      </w:pPr>
      <w:r w:rsidRPr="00D40A98">
        <w:t xml:space="preserve">Le travail sur la définition de la stratégie s’est notamment appuyé sur deux scénarios, un scénario « </w:t>
      </w:r>
      <w:r w:rsidRPr="00D40A98">
        <w:rPr>
          <w:i/>
          <w:iCs/>
        </w:rPr>
        <w:t>tendanciel</w:t>
      </w:r>
      <w:r w:rsidRPr="00D40A98">
        <w:t xml:space="preserve"> » et un scénario « </w:t>
      </w:r>
      <w:r w:rsidRPr="00D40A98">
        <w:rPr>
          <w:i/>
          <w:iCs/>
        </w:rPr>
        <w:t>conformité règlementaire</w:t>
      </w:r>
      <w:r w:rsidRPr="00D40A98">
        <w:t xml:space="preserve"> » visant l’atteinte du « </w:t>
      </w:r>
      <w:r w:rsidRPr="00D40A98">
        <w:rPr>
          <w:i/>
          <w:iCs/>
        </w:rPr>
        <w:t>facteur 6</w:t>
      </w:r>
      <w:r w:rsidRPr="00D40A98">
        <w:t xml:space="preserve"> » de baisse des émissions de </w:t>
      </w:r>
      <w:r>
        <w:t>g</w:t>
      </w:r>
      <w:r w:rsidRPr="00D40A98">
        <w:t xml:space="preserve">az à </w:t>
      </w:r>
      <w:r>
        <w:t>e</w:t>
      </w:r>
      <w:r w:rsidRPr="00D40A98">
        <w:t xml:space="preserve">ffet de </w:t>
      </w:r>
      <w:r>
        <w:t>s</w:t>
      </w:r>
      <w:r w:rsidRPr="00D40A98">
        <w:t xml:space="preserve">erre à l’horizon 2050, par rapport à l’année de référence 1990 (loi Energie-Climat). </w:t>
      </w:r>
    </w:p>
    <w:p w14:paraId="3AF145BF" w14:textId="1567AD57" w:rsidR="0026244C" w:rsidRPr="00ED320C" w:rsidRDefault="0026244C" w:rsidP="0026244C">
      <w:pPr>
        <w:pStyle w:val="QBO-Texte"/>
      </w:pPr>
      <w:r w:rsidRPr="00ED320C">
        <w:t xml:space="preserve">Afin d’assurer la bonne prise en compte des enjeux environnementaux par le PCAET, une étude des impacts environnementaux des scénarios a été réalisée, et a permis d’éclairer, sur certains points, les modalités de mise en œuvre de ces propositions et les vigilances qui pouvaient y être associées. La prise en compte de ces incidences doit ainsi permettre de fixer des orientations supplémentaires à la </w:t>
      </w:r>
      <w:r>
        <w:t>s</w:t>
      </w:r>
      <w:r w:rsidRPr="00ED320C">
        <w:t>tratégie finale retenue dans le cadre du PCAET.</w:t>
      </w:r>
    </w:p>
    <w:p w14:paraId="550D8D86" w14:textId="31509B3F" w:rsidR="0026244C" w:rsidRDefault="0026244C" w:rsidP="0026244C">
      <w:pPr>
        <w:pStyle w:val="QBO-Texte"/>
      </w:pPr>
      <w:r w:rsidRPr="00ED320C">
        <w:t xml:space="preserve">Les trois scénarios ont été construits à l’aide de </w:t>
      </w:r>
      <w:proofErr w:type="gramStart"/>
      <w:r w:rsidRPr="00ED320C">
        <w:t>l’</w:t>
      </w:r>
      <w:r>
        <w:t> «</w:t>
      </w:r>
      <w:proofErr w:type="gramEnd"/>
      <w:r>
        <w:t> </w:t>
      </w:r>
      <w:r w:rsidRPr="00ED320C">
        <w:t xml:space="preserve">outil </w:t>
      </w:r>
      <w:r>
        <w:t>s</w:t>
      </w:r>
      <w:r w:rsidRPr="00ED320C">
        <w:t>tratégie</w:t>
      </w:r>
      <w:r>
        <w:t> »</w:t>
      </w:r>
      <w:r w:rsidRPr="00ED320C">
        <w:t xml:space="preserve"> développé en interne par ALTEREA qui permet une analyse de la consommation d’énergie, des émissions de GES, des polluants et du développement des énergies renouvelables. Il n’intervient pas sur la séquestration carbone et l’adaptation au changement climatique. D’autres outils (ALDO, etc.) existent sur ces thématiques et permettent ainsi de compléter l’analyse.</w:t>
      </w:r>
    </w:p>
    <w:p w14:paraId="38C59A19" w14:textId="77777777" w:rsidR="009D5530" w:rsidRPr="0026244C" w:rsidRDefault="007E57EC" w:rsidP="0026244C">
      <w:pPr>
        <w:pStyle w:val="Titre4ALTEREA2018"/>
      </w:pPr>
      <w:r w:rsidRPr="0026244C">
        <w:t>Scénario « tendanciel »</w:t>
      </w:r>
    </w:p>
    <w:p w14:paraId="3763097A" w14:textId="19791E8C" w:rsidR="0026244C" w:rsidRPr="007D7B4A" w:rsidRDefault="0026244C" w:rsidP="0026244C">
      <w:pPr>
        <w:pStyle w:val="QBO-Texte"/>
      </w:pPr>
      <w:r w:rsidRPr="007D7B4A">
        <w:t xml:space="preserve">Le scénario tendanciel se définit comme l’absence de mesures supplémentaires et de projets de développement des ENR&amp;R à celles déjà envisagées par le territoire d’ici à 2050. </w:t>
      </w:r>
    </w:p>
    <w:p w14:paraId="6D6F4E5B" w14:textId="77777777" w:rsidR="0026244C" w:rsidRPr="0026244C" w:rsidRDefault="0026244C" w:rsidP="0026244C">
      <w:pPr>
        <w:pStyle w:val="QBO-Texte"/>
      </w:pPr>
      <w:r w:rsidRPr="0026244C">
        <w:t xml:space="preserve">À titre d’exemple, une substitution de véhicules thermiques vers des véhicules hybrides et électriques est en cours. Il est ainsi projeté une substitution de 80% des véhicules de personnes thermiques par 40% d’électriques, 30% d’hybrides et de 10% de GNV/bioGNV ; des rénovations sont engagées chaque année sur le territoire et permettent d’abaisser la consommation moyenne des logements du territoire. Sont également intégrées les évolutions de l’activité économique, traduite par une hausse de l’activité dans le secteur du tertiaire ainsi que du secteur industriel. Enfin, le tendanciel inclut une réflexion sur les sources d’énergie ; dans ce scénario la production locale d’énergie renouvelable augmente de façon modérée (+239 GWh) par rapport à 2019, et il est simulé le verdissement des réseaux nationaux. Ainsi, les énergies renouvelables permettraient de couvrir 33% de la consommation en 2050. </w:t>
      </w:r>
    </w:p>
    <w:p w14:paraId="01E55630" w14:textId="44E7189E" w:rsidR="00B030EC" w:rsidRPr="0026244C" w:rsidRDefault="0026244C" w:rsidP="00055A7C">
      <w:pPr>
        <w:pStyle w:val="QBO-Texte"/>
        <w:rPr>
          <w:highlight w:val="yellow"/>
        </w:rPr>
      </w:pPr>
      <w:r w:rsidRPr="0026244C">
        <w:lastRenderedPageBreak/>
        <w:t>Ce scénario devait servir de base de comparaison pour les débats liés aux différentes hypothèses ; il permet en effet de comparer les impacts de chaque orientation retenue par la collectivité avec le tendanciel.</w:t>
      </w:r>
    </w:p>
    <w:p w14:paraId="40CAC67D" w14:textId="77777777" w:rsidR="009D5530" w:rsidRPr="00B030EC" w:rsidRDefault="007E57EC">
      <w:pPr>
        <w:pStyle w:val="Titre4ALTEREA2018"/>
      </w:pPr>
      <w:r w:rsidRPr="00B030EC">
        <w:t>Scénario « conformité réglementaire »</w:t>
      </w:r>
    </w:p>
    <w:p w14:paraId="46569A4F" w14:textId="647EBDA4" w:rsidR="0026244C" w:rsidRPr="0026244C" w:rsidRDefault="0026244C" w:rsidP="0026244C">
      <w:pPr>
        <w:pStyle w:val="QBO-Texte"/>
      </w:pPr>
      <w:r w:rsidRPr="0010035F">
        <w:t xml:space="preserve">Le scénario de conformité règlementaire se définit comme l’application au niveau local des mesures et objectifs approuvés au niveau régional et/ou national, via le SRADDET de la </w:t>
      </w:r>
      <w:r w:rsidRPr="0026244C">
        <w:t>région Bretagne (avant modification de février 2024) ou la Stratégie Nationale Bas Carbone d’ici à 2050.</w:t>
      </w:r>
    </w:p>
    <w:p w14:paraId="075BFDC5" w14:textId="77777777" w:rsidR="0026244C" w:rsidRPr="0026244C" w:rsidRDefault="0026244C" w:rsidP="0026244C">
      <w:pPr>
        <w:pStyle w:val="QBO-Texte"/>
      </w:pPr>
      <w:r w:rsidRPr="0026244C">
        <w:t xml:space="preserve">Ce scénario inclut donc la mise en place d’actions systématiques sur l’ensemble des secteurs et leviers disponibles sur le territoire de la communauté d’agglomération ainsi qu’un développement important de la protection d’énergies renouvelables. </w:t>
      </w:r>
    </w:p>
    <w:p w14:paraId="0DF9113D" w14:textId="6B267632" w:rsidR="00B030EC" w:rsidRPr="0026244C" w:rsidRDefault="0026244C" w:rsidP="00055A7C">
      <w:pPr>
        <w:pStyle w:val="QBO-Texte"/>
        <w:rPr>
          <w:highlight w:val="yellow"/>
        </w:rPr>
      </w:pPr>
      <w:r w:rsidRPr="0026244C">
        <w:t>Dans ce scénario, la plupart des leviers mobilisables ont été étudiés et intégrés.</w:t>
      </w:r>
      <w:r w:rsidR="00B57ED6">
        <w:t xml:space="preserve"> </w:t>
      </w:r>
      <w:r w:rsidR="00B57ED6" w:rsidRPr="00B57ED6">
        <w:t>Par exemple, le scénario comprend la rénovation de 100% du parc de logements permettant d’atteindre les normes BBC rénovation (RT2012) d’ici 2050</w:t>
      </w:r>
      <w:r w:rsidR="00B57ED6">
        <w:t xml:space="preserve">. </w:t>
      </w:r>
    </w:p>
    <w:p w14:paraId="702E4128" w14:textId="77777777" w:rsidR="009D5530" w:rsidRPr="00B030EC" w:rsidRDefault="007E57EC" w:rsidP="00B57ED6">
      <w:pPr>
        <w:pStyle w:val="Titre3"/>
      </w:pPr>
      <w:bookmarkStart w:id="56" w:name="_Toc98841706"/>
      <w:bookmarkStart w:id="57" w:name="_Toc83048846"/>
      <w:bookmarkStart w:id="58" w:name="_Toc179277413"/>
      <w:r w:rsidRPr="00B030EC">
        <w:t>Analyse des incidences des scénarios et recommandations</w:t>
      </w:r>
      <w:bookmarkEnd w:id="56"/>
      <w:bookmarkEnd w:id="58"/>
      <w:r w:rsidRPr="00B030EC">
        <w:t xml:space="preserve"> </w:t>
      </w:r>
      <w:bookmarkEnd w:id="57"/>
    </w:p>
    <w:p w14:paraId="39868C39" w14:textId="77777777" w:rsidR="009D5530" w:rsidRPr="00B57ED6" w:rsidRDefault="007E57EC" w:rsidP="00055A7C">
      <w:pPr>
        <w:pStyle w:val="QBO-Texte"/>
      </w:pPr>
      <w:r w:rsidRPr="00B57ED6">
        <w:t xml:space="preserve">La lecture croisée des impacts des deux scénarios permet de faire émerger des attentes fortes d’un point de vue environnemental pour l’élaboration de la stratégie finale du PCAET. </w:t>
      </w:r>
    </w:p>
    <w:p w14:paraId="1398034D" w14:textId="4E89F528" w:rsidR="00B030EC" w:rsidRPr="00B57ED6" w:rsidRDefault="00B030EC" w:rsidP="00055A7C">
      <w:pPr>
        <w:pStyle w:val="QBO-Texte"/>
      </w:pPr>
      <w:r w:rsidRPr="00B57ED6">
        <w:t>Le scénario tendanciel présente des impacts forts notamment liés à l’absence de mesures sur certains secteurs étudiés.</w:t>
      </w:r>
      <w:r w:rsidR="00B57ED6">
        <w:t xml:space="preserve"> </w:t>
      </w:r>
      <w:r w:rsidRPr="00B57ED6">
        <w:t xml:space="preserve">Le scénario de conformité règlementaire, malgré le fait qu’il permet d’agir sur la réduction des émissions de polluants et de </w:t>
      </w:r>
      <w:r w:rsidR="00B57ED6">
        <w:t xml:space="preserve">gaz à effet de serre </w:t>
      </w:r>
      <w:r w:rsidRPr="00B57ED6">
        <w:t>et améliore la séquestration carbone du territoire, n’intègre que partiellement les enjeux de l’adaptation au changement climatique, la gestion du risque ou des ressources (eau, matières premières, etc.).</w:t>
      </w:r>
    </w:p>
    <w:p w14:paraId="49C35C51" w14:textId="4A5A09F1" w:rsidR="00B030EC" w:rsidRPr="00B57ED6" w:rsidRDefault="00B030EC" w:rsidP="00055A7C">
      <w:pPr>
        <w:pStyle w:val="QBO-Texte"/>
      </w:pPr>
      <w:r w:rsidRPr="00B57ED6">
        <w:t>Si ces deux sc</w:t>
      </w:r>
      <w:r w:rsidR="00B57ED6">
        <w:t>é</w:t>
      </w:r>
      <w:r w:rsidRPr="00B57ED6">
        <w:t>narios servent d’aide à la décision en termes d’impacts climatiques et énergétiques, ils restent donc éloignés d’une approche globale qui intègre les impacts environnementaux des orientations.</w:t>
      </w:r>
    </w:p>
    <w:p w14:paraId="22A23522" w14:textId="5516FE20" w:rsidR="00B030EC" w:rsidRDefault="00B030EC" w:rsidP="00055A7C">
      <w:pPr>
        <w:pStyle w:val="QBO-Texte"/>
      </w:pPr>
      <w:r w:rsidRPr="00B57ED6">
        <w:t>Afin de mieux prendre en compte les incidences environnementales de la stratégie du PCAET, des recommandations ont donc été formulées.</w:t>
      </w:r>
    </w:p>
    <w:p w14:paraId="083D7999" w14:textId="6E1FEC83" w:rsidR="00B721B8" w:rsidRPr="00B721B8" w:rsidRDefault="00B721B8" w:rsidP="00B721B8">
      <w:pPr>
        <w:rPr>
          <w:rStyle w:val="Accentuationintense"/>
          <w:sz w:val="24"/>
          <w:szCs w:val="28"/>
        </w:rPr>
      </w:pPr>
      <w:r w:rsidRPr="00B721B8">
        <w:rPr>
          <w:rStyle w:val="Accentuationintense"/>
          <w:sz w:val="24"/>
          <w:szCs w:val="28"/>
        </w:rPr>
        <w:t xml:space="preserve">Adaptation au changement climatique </w:t>
      </w:r>
    </w:p>
    <w:p w14:paraId="396EA7AB" w14:textId="77777777" w:rsidR="00B721B8" w:rsidRPr="009F7811" w:rsidRDefault="00B721B8" w:rsidP="00B721B8">
      <w:pPr>
        <w:pStyle w:val="QBO-Texte"/>
        <w:rPr>
          <w:b/>
          <w:bCs/>
        </w:rPr>
      </w:pPr>
      <w:r w:rsidRPr="009F7811">
        <w:rPr>
          <w:b/>
          <w:bCs/>
        </w:rPr>
        <w:t xml:space="preserve">Les recommandations : </w:t>
      </w:r>
      <w:r w:rsidRPr="009F7811">
        <w:t xml:space="preserve">Plusieurs recommandations sont faites pour limiter ces impacts et adapter le territoire </w:t>
      </w:r>
      <w:r w:rsidRPr="009F7811">
        <w:rPr>
          <w:b/>
          <w:bCs/>
        </w:rPr>
        <w:t xml:space="preserve">au changement climatique. </w:t>
      </w:r>
    </w:p>
    <w:p w14:paraId="652310BA" w14:textId="77777777" w:rsidR="00B721B8" w:rsidRDefault="00B721B8" w:rsidP="00055A7C">
      <w:pPr>
        <w:pStyle w:val="QBO-Puces1"/>
      </w:pPr>
      <w:r w:rsidRPr="009F7811">
        <w:rPr>
          <w:b/>
          <w:bCs/>
        </w:rPr>
        <w:t>Pour</w:t>
      </w:r>
      <w:r w:rsidRPr="009F7811">
        <w:t xml:space="preserve"> </w:t>
      </w:r>
      <w:r w:rsidRPr="009F7811">
        <w:rPr>
          <w:b/>
          <w:bCs/>
        </w:rPr>
        <w:t>les secteurs Tertiaire et Résidentiel :</w:t>
      </w:r>
      <w:r>
        <w:t xml:space="preserve"> Il conviendrait d'avoir des objectifs chiffrés sur la désimperméabilisation des sols dans les documents d'urbanisme et dans les futures constructions de logements. Il est également recommandé de mettre en place des objectifs de densification du bâti afin de réduire l'étalement urbain ainsi que de mieux prendre en compte le niveau de confort d'été. De plus, l’intégration d'un objectif de coefficient de réflexion (ou d’albédo, matériaux clairs sur les toitures) au sein des futures constructions permettrait davantage d’adapter ces dernières au changement climatique.</w:t>
      </w:r>
    </w:p>
    <w:p w14:paraId="0D45A5F6" w14:textId="42D65AE4" w:rsidR="00B721B8" w:rsidRDefault="00B721B8" w:rsidP="00055A7C">
      <w:pPr>
        <w:pStyle w:val="QBO-Puces1"/>
      </w:pPr>
      <w:r w:rsidRPr="009F7811">
        <w:rPr>
          <w:b/>
          <w:bCs/>
        </w:rPr>
        <w:t>Pour les transports routiers et non routiers :</w:t>
      </w:r>
      <w:r>
        <w:t xml:space="preserve"> Il serait souhaitable d’identifier les infrastructures les plus exposées aux risques liés au changement climatique (fortes chaleurs, etc.) et d’adapter les aménagements (désimperméabilisation partielle, végétalisation en bord de route, choix des matériaux utilisés, etc.). Il est recommandé d’avoir une réflexion et de mener une veille sur les techniques d'enrobage routier et peinture permettant d'augmenter le coefficient de réflexion.</w:t>
      </w:r>
    </w:p>
    <w:p w14:paraId="43FC818B" w14:textId="77777777" w:rsidR="00B721B8" w:rsidRDefault="00B721B8" w:rsidP="00055A7C">
      <w:pPr>
        <w:pStyle w:val="QBO-Puces1"/>
      </w:pPr>
      <w:r w:rsidRPr="009F7811">
        <w:rPr>
          <w:b/>
          <w:bCs/>
        </w:rPr>
        <w:t>Pour le secteur des déchets :</w:t>
      </w:r>
      <w:r>
        <w:t xml:space="preserve"> Il est recommandé d’adapter</w:t>
      </w:r>
      <w:r w:rsidRPr="009F7811">
        <w:t xml:space="preserve"> la collecte des déchets aux aléas climatiques (horaire de collecte pouvant être aménagés en fonction des températures</w:t>
      </w:r>
      <w:r>
        <w:t>, etc.</w:t>
      </w:r>
      <w:r w:rsidRPr="009F7811">
        <w:t>)</w:t>
      </w:r>
      <w:r>
        <w:t>.</w:t>
      </w:r>
    </w:p>
    <w:p w14:paraId="49028DA8" w14:textId="77777777" w:rsidR="00B721B8" w:rsidRDefault="00B721B8" w:rsidP="00055A7C">
      <w:pPr>
        <w:pStyle w:val="QBO-Puces1"/>
      </w:pPr>
      <w:r w:rsidRPr="009F7811">
        <w:rPr>
          <w:b/>
          <w:bCs/>
        </w:rPr>
        <w:lastRenderedPageBreak/>
        <w:t xml:space="preserve">Pour le secteur industrie hors branche énergie : </w:t>
      </w:r>
      <w:r>
        <w:t>Lors de futures constructions industrielles, il est recommandé de prendre en compte les évolutions attendues du climat (sécheresse, montée du niveau de la mer), ainsi que l'imperméabilisation des sols dans les documents d'urbanisme. Les protocoles de sécurité doivent prendre en compte l'augmentation des aléas climatiques.</w:t>
      </w:r>
    </w:p>
    <w:p w14:paraId="02014FE9" w14:textId="77777777" w:rsidR="00B721B8" w:rsidRDefault="00B721B8" w:rsidP="00055A7C">
      <w:pPr>
        <w:pStyle w:val="QBO-Puces1"/>
      </w:pPr>
      <w:r>
        <w:rPr>
          <w:b/>
          <w:bCs/>
        </w:rPr>
        <w:t>Pour le secteur industrie branche énergie :</w:t>
      </w:r>
      <w:r>
        <w:t xml:space="preserve"> Il est recommandé de prendre en compte l'adaptation au changement climatique dans les projets de développement des énergies renouvelables ainsi que de favoriser les technologies résistantes aux aléas climatiques importants (inondations, canicules).</w:t>
      </w:r>
    </w:p>
    <w:p w14:paraId="07634403" w14:textId="77777777" w:rsidR="00B721B8" w:rsidRDefault="00B721B8" w:rsidP="00055A7C">
      <w:pPr>
        <w:pStyle w:val="QBO-Puces1"/>
        <w:spacing w:after="240"/>
      </w:pPr>
      <w:r>
        <w:rPr>
          <w:b/>
          <w:bCs/>
        </w:rPr>
        <w:t>Pour le secteur agriculture :</w:t>
      </w:r>
      <w:r>
        <w:t xml:space="preserve"> Pour adapter le secteur au changement climatique, il est recommandé de planter des haies bocagères ainsi que de développer la production agricole locale pour nourrir les bêtes sans ressources importées. Il est également recommandé d’accompagner la modification des pratiques agricoles afin de permettre une meilleure préservation des sols et de la ressource en eau ainsi qu’un accompagnement des agriculteurs dans leur transition.</w:t>
      </w:r>
    </w:p>
    <w:p w14:paraId="0634DA92" w14:textId="77777777" w:rsidR="00B721B8" w:rsidRPr="00B721B8" w:rsidRDefault="00B721B8" w:rsidP="00B721B8">
      <w:pPr>
        <w:rPr>
          <w:rFonts w:asciiTheme="majorHAnsi" w:hAnsiTheme="majorHAnsi" w:cstheme="majorHAnsi"/>
          <w:b/>
          <w:bCs/>
          <w:i/>
          <w:iCs/>
          <w:color w:val="F3C345" w:themeColor="accent1"/>
          <w:sz w:val="24"/>
          <w:szCs w:val="24"/>
        </w:rPr>
      </w:pPr>
      <w:r w:rsidRPr="00B721B8">
        <w:rPr>
          <w:rFonts w:asciiTheme="majorHAnsi" w:hAnsiTheme="majorHAnsi" w:cstheme="majorHAnsi"/>
          <w:b/>
          <w:bCs/>
          <w:i/>
          <w:iCs/>
          <w:color w:val="F3C345" w:themeColor="accent1"/>
          <w:sz w:val="24"/>
          <w:szCs w:val="24"/>
        </w:rPr>
        <w:t>Biodiversité</w:t>
      </w:r>
    </w:p>
    <w:p w14:paraId="34B1D558" w14:textId="77777777" w:rsidR="00B721B8" w:rsidRPr="001167C9" w:rsidRDefault="00B721B8" w:rsidP="00B721B8">
      <w:pPr>
        <w:pStyle w:val="QBO-Texte"/>
        <w:rPr>
          <w:b/>
          <w:bCs/>
        </w:rPr>
      </w:pPr>
      <w:r w:rsidRPr="001167C9">
        <w:rPr>
          <w:b/>
          <w:bCs/>
        </w:rPr>
        <w:t>Les recommandations :</w:t>
      </w:r>
      <w:r w:rsidRPr="001167C9">
        <w:t xml:space="preserve"> Un certain nombre de recommandations sont rédigées afin de préserver et reconquérir </w:t>
      </w:r>
      <w:r w:rsidRPr="001167C9">
        <w:rPr>
          <w:b/>
          <w:bCs/>
        </w:rPr>
        <w:t>la biodiversité.</w:t>
      </w:r>
    </w:p>
    <w:p w14:paraId="25525209" w14:textId="77777777" w:rsidR="00B721B8" w:rsidRDefault="00B721B8" w:rsidP="00055A7C">
      <w:pPr>
        <w:pStyle w:val="QBO-Puces1"/>
      </w:pPr>
      <w:r w:rsidRPr="009F7811">
        <w:rPr>
          <w:b/>
          <w:bCs/>
        </w:rPr>
        <w:t>Pour</w:t>
      </w:r>
      <w:r w:rsidRPr="009F7811">
        <w:t xml:space="preserve"> </w:t>
      </w:r>
      <w:r w:rsidRPr="009F7811">
        <w:rPr>
          <w:b/>
          <w:bCs/>
        </w:rPr>
        <w:t>les secteurs Tertiaire et Résidentiel :</w:t>
      </w:r>
      <w:r>
        <w:t xml:space="preserve"> Il est recommandé de réduire l'étalement urbain fragmentant les écosystèmes en intégrant au sein des PLU et PLUi l'objectif du Zéro Artificialisation Nette (ZAN). Il est aussi recommandé d’accompagner les communes afin qu’elles n’utilisent pas systématiquement leur « garantie rurale » (la loi Climat-Résilience prévoit une garantie rurale fixée à 1ha de terre pouvant être artificialisé par commune d'ici 2031) afin qu’elles réfléchissent au réel besoin de consommation du foncier. Il est également recommandé d’atténuer les impacts négatifs possibles liés à la densification (effet ICU, augmentation des nuisances générées en ville, etc.) par les choix d'aménagements et de constructions (orientation des bâtiments, trame verte bleue et noire, etc.). Enfin, l’intégration d’un coefficient de biotope ambitieux au sein des PLU et PLUi pourrait permettre de préserver une part plus importante de la biodiversité.</w:t>
      </w:r>
    </w:p>
    <w:p w14:paraId="6221F7A3" w14:textId="77777777" w:rsidR="00B721B8" w:rsidRDefault="00B721B8" w:rsidP="00055A7C">
      <w:pPr>
        <w:pStyle w:val="QBO-Puces1"/>
      </w:pPr>
      <w:r w:rsidRPr="009F7811">
        <w:rPr>
          <w:b/>
          <w:bCs/>
        </w:rPr>
        <w:t>Pour les transports routiers et non routiers :</w:t>
      </w:r>
      <w:r>
        <w:t xml:space="preserve"> Il est recommandé de ne pas prévoir de nouvelles infrastructures routières (</w:t>
      </w:r>
      <w:proofErr w:type="spellStart"/>
      <w:r>
        <w:t>hors piste</w:t>
      </w:r>
      <w:proofErr w:type="spellEnd"/>
      <w:r>
        <w:t xml:space="preserve"> cyclable et aménagement pour mobilités actives) sur des espaces non artificialisés. Il est également recommandé de confirmer la localisation de nouveaux aménagements pour des modes de déplacements alternatifs (vélo, bus, etc.) sur des surfaces déjà imperméabilisées. Les anciennes surfaces utilisées pour les transports routiers, débitumées, peuvent être converties en zones préservant la biodiversité. Enfin il est recommandé de p</w:t>
      </w:r>
      <w:r w:rsidRPr="001167C9">
        <w:t>révoir des corridors écologiques permettant de franchir les grandes infrastructures et de limiter le passage de la biodiversité sur les infrastructures existantes.</w:t>
      </w:r>
    </w:p>
    <w:p w14:paraId="4C261649" w14:textId="77777777" w:rsidR="00B721B8" w:rsidRDefault="00B721B8" w:rsidP="00055A7C">
      <w:pPr>
        <w:pStyle w:val="QBO-Puces1"/>
      </w:pPr>
      <w:r w:rsidRPr="009F7811">
        <w:rPr>
          <w:b/>
          <w:bCs/>
        </w:rPr>
        <w:t>Pour le secteur des déchets :</w:t>
      </w:r>
      <w:r>
        <w:t xml:space="preserve"> Il est recommandé d’augmenter la part du recyclage et de limiter l’enfouissement ou l’incinération des déchets (pollution des sols ou de l’air affectant la biodiversité). Il est également conseillé de travailler à une politique d’amélioration des cours d’eau, (pollution chimique, microplastiques, etc.) permettant de limiter l’arrivée de déchets en mer.</w:t>
      </w:r>
    </w:p>
    <w:p w14:paraId="6C31C1D6" w14:textId="77777777" w:rsidR="00B721B8" w:rsidRPr="001167C9" w:rsidRDefault="00B721B8" w:rsidP="00055A7C">
      <w:pPr>
        <w:pStyle w:val="QBO-Puces1"/>
        <w:rPr>
          <w:b/>
          <w:bCs/>
        </w:rPr>
      </w:pPr>
      <w:r w:rsidRPr="009F7811">
        <w:rPr>
          <w:b/>
          <w:bCs/>
        </w:rPr>
        <w:t>Pour le secteur industrie hors branche énergie :</w:t>
      </w:r>
      <w:r w:rsidRPr="001167C9">
        <w:t xml:space="preserve"> Il conviendrait de porter des mesures de renforcement et de protection de la biodiversité sur les sites industriels (toiture</w:t>
      </w:r>
      <w:r>
        <w:t>s</w:t>
      </w:r>
      <w:r w:rsidRPr="001167C9">
        <w:t xml:space="preserve"> végétalisées, mares, ruches, etc.). Il est de plus recommandé de désartificialiser des espaces afin de permettre </w:t>
      </w:r>
      <w:r>
        <w:t>l’arrivée de</w:t>
      </w:r>
      <w:r w:rsidRPr="001167C9">
        <w:t xml:space="preserve"> zones de libre évolution de la biodiversité.</w:t>
      </w:r>
    </w:p>
    <w:p w14:paraId="4BE62E58" w14:textId="77777777" w:rsidR="00B721B8" w:rsidRDefault="00B721B8" w:rsidP="00055A7C">
      <w:pPr>
        <w:pStyle w:val="QBO-Puces1"/>
      </w:pPr>
      <w:r>
        <w:rPr>
          <w:b/>
          <w:bCs/>
        </w:rPr>
        <w:t>Pour le secteur industrie branche énergie :</w:t>
      </w:r>
      <w:r>
        <w:t xml:space="preserve"> Il est recommandé de privilégier l'implantation des sites de production d’énergie renouvelable sur des surfaces déjà artificialisées. De plus, il est conseillé de prévoir des mesures spécifiques à la biodiversité (arrêt des éoliennes sur certaines périodes, création de refuges, etc.). Enfin, il est recommandé de privilégier </w:t>
      </w:r>
      <w:r>
        <w:lastRenderedPageBreak/>
        <w:t>l'installation de panneaux photovoltaïques en ombrières ou toiture afin de réduire l'artificialisation ainsi que les externalités environnementales négatives.</w:t>
      </w:r>
    </w:p>
    <w:p w14:paraId="42032FC3" w14:textId="6D2946C8" w:rsidR="00B721B8" w:rsidRPr="00055A7C" w:rsidRDefault="00B721B8" w:rsidP="00055A7C">
      <w:pPr>
        <w:pStyle w:val="QBO-Puces1"/>
        <w:spacing w:after="240"/>
      </w:pPr>
      <w:r w:rsidRPr="001167C9">
        <w:rPr>
          <w:b/>
          <w:bCs/>
        </w:rPr>
        <w:t>Pour le secteur agriculture :</w:t>
      </w:r>
      <w:r>
        <w:t xml:space="preserve"> Il est recommandé de privilégier les pratiques culturales permettant le développement d'une forte biodiversité (permaculture, agroforesterie, etc.). La plantation importante de haies bocagères (différentes strates, plantation d'essences favorables à la biodiversité) ainsi que la réduction des intrants sont des recommandations permettant de préserver la biodiversité.</w:t>
      </w:r>
    </w:p>
    <w:p w14:paraId="2C95A3A1" w14:textId="665E12C6" w:rsidR="00B721B8" w:rsidRPr="00B721B8" w:rsidRDefault="00B721B8" w:rsidP="00B721B8">
      <w:pPr>
        <w:rPr>
          <w:rFonts w:cstheme="minorHAnsi"/>
          <w:b/>
          <w:bCs/>
          <w:i/>
          <w:iCs/>
          <w:color w:val="F3C345" w:themeColor="accent1"/>
          <w:sz w:val="24"/>
          <w:szCs w:val="24"/>
        </w:rPr>
      </w:pPr>
      <w:r w:rsidRPr="00B721B8">
        <w:rPr>
          <w:rFonts w:cstheme="minorHAnsi"/>
          <w:b/>
          <w:bCs/>
          <w:i/>
          <w:iCs/>
          <w:color w:val="F3C345" w:themeColor="accent1"/>
          <w:sz w:val="24"/>
          <w:szCs w:val="24"/>
        </w:rPr>
        <w:t>Qualité de l’air</w:t>
      </w:r>
    </w:p>
    <w:p w14:paraId="03B31E99" w14:textId="77777777" w:rsidR="00B721B8" w:rsidRPr="004172E6" w:rsidRDefault="00B721B8" w:rsidP="00B721B8">
      <w:pPr>
        <w:pStyle w:val="QBO-Texte"/>
        <w:rPr>
          <w:b/>
          <w:bCs/>
        </w:rPr>
      </w:pPr>
      <w:r w:rsidRPr="004172E6">
        <w:rPr>
          <w:b/>
          <w:bCs/>
        </w:rPr>
        <w:t xml:space="preserve">Les recommandations : </w:t>
      </w:r>
      <w:r w:rsidRPr="004172E6">
        <w:t xml:space="preserve">De nombreuses recommandations sont rédigées afin de doter la </w:t>
      </w:r>
      <w:r>
        <w:t>Communauté d’agglomération</w:t>
      </w:r>
      <w:r w:rsidRPr="004172E6">
        <w:t xml:space="preserve"> de Quimper Bretagne Occidentale d’une politique de </w:t>
      </w:r>
      <w:r w:rsidRPr="004172E6">
        <w:rPr>
          <w:b/>
          <w:bCs/>
        </w:rPr>
        <w:t>qualité de l’air</w:t>
      </w:r>
      <w:r w:rsidRPr="004172E6">
        <w:t xml:space="preserve"> ambitieuse.</w:t>
      </w:r>
    </w:p>
    <w:p w14:paraId="09A99586" w14:textId="77777777" w:rsidR="00B721B8" w:rsidRDefault="00B721B8" w:rsidP="00055A7C">
      <w:pPr>
        <w:pStyle w:val="QBO-Puces1"/>
      </w:pPr>
      <w:r w:rsidRPr="009F7811">
        <w:rPr>
          <w:b/>
          <w:bCs/>
        </w:rPr>
        <w:t>Pour</w:t>
      </w:r>
      <w:r w:rsidRPr="009F7811">
        <w:t xml:space="preserve"> </w:t>
      </w:r>
      <w:r w:rsidRPr="009F7811">
        <w:rPr>
          <w:b/>
          <w:bCs/>
        </w:rPr>
        <w:t>les secteurs Tertiaire et Résidentiel :</w:t>
      </w:r>
      <w:r>
        <w:t xml:space="preserve"> Il est recommandé de préconiser des systèmes de chauffage au bois performants et des matériaux plus respectueux de l'environnement tels que les matériaux biosourcés. Il est également recommandé que le Plan d’Amélioration de la Qualité de l’Air (PAQA) soit ambitieux et permette de réellement atteindre les objectifs de baisse des polluants atmosphériques, fixés par la loi.</w:t>
      </w:r>
    </w:p>
    <w:p w14:paraId="49D9E329" w14:textId="77777777" w:rsidR="00B721B8" w:rsidRDefault="00B721B8" w:rsidP="00055A7C">
      <w:pPr>
        <w:pStyle w:val="QBO-Puces1"/>
      </w:pPr>
      <w:r w:rsidRPr="009F7811">
        <w:rPr>
          <w:b/>
          <w:bCs/>
        </w:rPr>
        <w:t>Pour les transports routiers et non routiers :</w:t>
      </w:r>
      <w:r>
        <w:t xml:space="preserve"> Il est recommandé de diversifier les motorisations du territoire (électriques et GNV) afin de réduire l'impact du transport routier sur la qualité de l'air, et de favoriser les modes actifs (vélo, marche) ainsi que l'accès et l'usage des transports en commun. Il est aussi recommandé d’étudier la possibilité de mettre en place une ZFE-m volontaire afin d'améliorer la qualité de l'air au sein des aires urbaines.</w:t>
      </w:r>
    </w:p>
    <w:p w14:paraId="46EC7F8D" w14:textId="77777777" w:rsidR="00B721B8" w:rsidRDefault="00B721B8" w:rsidP="00055A7C">
      <w:pPr>
        <w:pStyle w:val="QBO-Puces1"/>
      </w:pPr>
      <w:r w:rsidRPr="009F7811">
        <w:rPr>
          <w:b/>
          <w:bCs/>
        </w:rPr>
        <w:t>Pour le secteur des déchets :</w:t>
      </w:r>
      <w:r>
        <w:t xml:space="preserve"> Il est recommandé de prendre en compte le tri des déchets à la source, avec la mise en place d’une sensibilisation (des habitants, entreprises, etc.) aux bonnes pratiques du tri. De plus il est recommandé d’avoir une vigilance forte sur les sites d'incinération et de méthanisation.</w:t>
      </w:r>
    </w:p>
    <w:p w14:paraId="79E60E06" w14:textId="77777777" w:rsidR="00B721B8" w:rsidRPr="004172E6" w:rsidRDefault="00B721B8" w:rsidP="00055A7C">
      <w:pPr>
        <w:pStyle w:val="QBO-Puces1"/>
        <w:rPr>
          <w:b/>
          <w:bCs/>
        </w:rPr>
      </w:pPr>
      <w:r w:rsidRPr="009F7811">
        <w:rPr>
          <w:b/>
          <w:bCs/>
        </w:rPr>
        <w:t xml:space="preserve">Pour le secteur industrie hors branche énergie : </w:t>
      </w:r>
      <w:r w:rsidRPr="004172E6">
        <w:t>Il est recommandé de préconiser des systèmes de production de chaleur ou d'énergie peu émetteur (filtration) dans le secteur industrie. De plus il est recommandé d’échanger et accompagner les industriels à la mise en place de systèmes de récupération des fumées des usines.</w:t>
      </w:r>
    </w:p>
    <w:p w14:paraId="09B4F92A" w14:textId="77777777" w:rsidR="00B721B8" w:rsidRDefault="00B721B8" w:rsidP="00055A7C">
      <w:pPr>
        <w:pStyle w:val="QBO-Puces1"/>
      </w:pPr>
      <w:r>
        <w:rPr>
          <w:b/>
          <w:bCs/>
        </w:rPr>
        <w:t>Pour le secteur industrie branche énergie :</w:t>
      </w:r>
      <w:r>
        <w:t xml:space="preserve"> Il est recommandé de </w:t>
      </w:r>
      <w:r w:rsidRPr="004172E6">
        <w:t>prendre en compte la problématique de qualité de l'air liée à la combustion du bois</w:t>
      </w:r>
      <w:r>
        <w:t>, en recourant à</w:t>
      </w:r>
      <w:r w:rsidRPr="004172E6">
        <w:t xml:space="preserve"> d</w:t>
      </w:r>
      <w:r>
        <w:t xml:space="preserve">es </w:t>
      </w:r>
      <w:r w:rsidRPr="004172E6">
        <w:t>installations performantes (flamme verte 7 étoiles).</w:t>
      </w:r>
    </w:p>
    <w:p w14:paraId="7EC772D5" w14:textId="77777777" w:rsidR="00B721B8" w:rsidRPr="004172E6" w:rsidRDefault="00B721B8" w:rsidP="00055A7C">
      <w:pPr>
        <w:pStyle w:val="QBO-Puces1"/>
        <w:spacing w:after="240"/>
      </w:pPr>
      <w:r w:rsidRPr="001167C9">
        <w:rPr>
          <w:b/>
          <w:bCs/>
        </w:rPr>
        <w:t>Pour le secteur agriculture :</w:t>
      </w:r>
      <w:r>
        <w:t xml:space="preserve"> Il est recommandé que le territoire se dote d’objectifs ambitieux de réduction des intrants (produits phytosanitaires et engrais minéraux). Il est également recommandé de sensibiliser les agriculteurs aux enjeux de qualité de l'air et santé humaine ainsi que de les accompagner dans la transformation de leurs pratiques et équipements.</w:t>
      </w:r>
    </w:p>
    <w:p w14:paraId="448D4685" w14:textId="77777777" w:rsidR="00B721B8" w:rsidRPr="00B721B8" w:rsidRDefault="00B721B8" w:rsidP="00B721B8">
      <w:pPr>
        <w:rPr>
          <w:rFonts w:cstheme="minorHAnsi"/>
          <w:b/>
          <w:bCs/>
          <w:i/>
          <w:iCs/>
          <w:color w:val="F3C345" w:themeColor="accent1"/>
          <w:sz w:val="24"/>
          <w:szCs w:val="24"/>
        </w:rPr>
      </w:pPr>
      <w:r w:rsidRPr="00B721B8">
        <w:rPr>
          <w:rFonts w:cstheme="minorHAnsi"/>
          <w:b/>
          <w:bCs/>
          <w:i/>
          <w:iCs/>
          <w:color w:val="F3C345" w:themeColor="accent1"/>
          <w:sz w:val="24"/>
          <w:szCs w:val="24"/>
        </w:rPr>
        <w:t>Agriculture</w:t>
      </w:r>
    </w:p>
    <w:p w14:paraId="7AD740F1" w14:textId="77777777" w:rsidR="00B721B8" w:rsidRDefault="00B721B8" w:rsidP="00B721B8">
      <w:pPr>
        <w:pStyle w:val="QBO-Texte"/>
        <w:rPr>
          <w:b/>
          <w:bCs/>
          <w:highlight w:val="yellow"/>
        </w:rPr>
      </w:pPr>
      <w:r w:rsidRPr="000A470F">
        <w:rPr>
          <w:b/>
          <w:bCs/>
        </w:rPr>
        <w:t xml:space="preserve">Les recommandations : </w:t>
      </w:r>
      <w:r>
        <w:t>Un certain nombre de</w:t>
      </w:r>
      <w:r w:rsidRPr="000A470F">
        <w:rPr>
          <w:b/>
          <w:bCs/>
        </w:rPr>
        <w:t xml:space="preserve"> recommandations</w:t>
      </w:r>
      <w:r>
        <w:t xml:space="preserve"> sont formulées afin de répondre aux enjeux associés à </w:t>
      </w:r>
      <w:r w:rsidRPr="000A470F">
        <w:rPr>
          <w:b/>
          <w:bCs/>
        </w:rPr>
        <w:t>l’Agriculture</w:t>
      </w:r>
      <w:r>
        <w:t> : maintenir des pratiques agricoles respectueuses des milieux, développer des circuits de valorisation locale, contribuer à maintenir des paysages agricoles, etc.</w:t>
      </w:r>
    </w:p>
    <w:p w14:paraId="2EE35B95" w14:textId="77777777" w:rsidR="00B721B8" w:rsidRDefault="00B721B8" w:rsidP="00055A7C">
      <w:pPr>
        <w:pStyle w:val="QBO-Puces1"/>
      </w:pPr>
      <w:r w:rsidRPr="009F7811">
        <w:rPr>
          <w:b/>
          <w:bCs/>
        </w:rPr>
        <w:t>Pour</w:t>
      </w:r>
      <w:r w:rsidRPr="009F7811">
        <w:t xml:space="preserve"> </w:t>
      </w:r>
      <w:r w:rsidRPr="009F7811">
        <w:rPr>
          <w:b/>
          <w:bCs/>
        </w:rPr>
        <w:t>les secteurs Tertiaire et Résidentiel :</w:t>
      </w:r>
      <w:r>
        <w:t xml:space="preserve"> Il est recommandé de limiter les constructions neuves en extension sur les zones agricoles et d’envisager l'agriculture urbaine biologique, y compris sur les grandes surfaces de toitures (immeubles collectifs).</w:t>
      </w:r>
    </w:p>
    <w:p w14:paraId="633D2AAF" w14:textId="77777777" w:rsidR="00B721B8" w:rsidRDefault="00B721B8" w:rsidP="00055A7C">
      <w:pPr>
        <w:pStyle w:val="QBO-Puces1"/>
      </w:pPr>
      <w:r w:rsidRPr="009F7811">
        <w:rPr>
          <w:b/>
          <w:bCs/>
        </w:rPr>
        <w:t>Pour les transports routiers et non routiers :</w:t>
      </w:r>
      <w:r>
        <w:t xml:space="preserve"> Il est recommandé de réduire au maximum l'emprise des nouvelles infrastructures mais également d’avoir une vigilance sur l'impact des créations d'infrastructures cyclables sur le foncier agricole. Il est recommandé, en lien avec l’objectif ZAN, de désartificialiser certains espaces en milieu urbain (parkings, voie double passant en sens unique) afin de libérer du foncier pour développer de l'agriculture urbaine.</w:t>
      </w:r>
    </w:p>
    <w:p w14:paraId="3C9B6752" w14:textId="77777777" w:rsidR="00B721B8" w:rsidRDefault="00B721B8" w:rsidP="00055A7C">
      <w:pPr>
        <w:pStyle w:val="QBO-Puces1"/>
      </w:pPr>
      <w:r w:rsidRPr="009F7811">
        <w:rPr>
          <w:b/>
          <w:bCs/>
        </w:rPr>
        <w:lastRenderedPageBreak/>
        <w:t>Pour le secteur des déchets :</w:t>
      </w:r>
      <w:r>
        <w:t xml:space="preserve"> Il est recommandé d’avoir une vigilance forte pour les sites de production de méthane des exploitations agricoles, en formant également des agriculteurs concernant la pollution engendrée par des fuites de méthaniseurs.</w:t>
      </w:r>
    </w:p>
    <w:p w14:paraId="30D79646" w14:textId="77777777" w:rsidR="00B721B8" w:rsidRPr="000A470F" w:rsidRDefault="00B721B8" w:rsidP="00055A7C">
      <w:pPr>
        <w:pStyle w:val="QBO-Puces1"/>
      </w:pPr>
      <w:r w:rsidRPr="009F7811">
        <w:rPr>
          <w:b/>
          <w:bCs/>
        </w:rPr>
        <w:t xml:space="preserve">Pour le secteur industrie hors branche énergie : </w:t>
      </w:r>
      <w:r w:rsidRPr="000A470F">
        <w:t xml:space="preserve">Il </w:t>
      </w:r>
      <w:r>
        <w:t>est recommandé</w:t>
      </w:r>
      <w:r w:rsidRPr="000A470F">
        <w:t xml:space="preserve"> de favoriser les aménagements les moins impactant possibles sur le paysage et la biodiversité (réduction de l'imperméabilisation des sols, etc.) par la biais d'un accompagnement des industriels et de favoriser les synergies pour réduire l'emprise foncières des zones économiques (parkings communs, restaurant d'entreprises partagé, zones de stockage modulable commune,</w:t>
      </w:r>
      <w:r>
        <w:t xml:space="preserve"> etc.</w:t>
      </w:r>
      <w:r w:rsidRPr="000A470F">
        <w:t>)</w:t>
      </w:r>
      <w:r>
        <w:t>. Il est également recommandé de construire en priorité sur l</w:t>
      </w:r>
      <w:r w:rsidRPr="000A470F">
        <w:t>es friches existantes.</w:t>
      </w:r>
    </w:p>
    <w:p w14:paraId="59ACBAF8" w14:textId="77777777" w:rsidR="00B721B8" w:rsidRDefault="00B721B8" w:rsidP="00055A7C">
      <w:pPr>
        <w:pStyle w:val="QBO-Puces1"/>
      </w:pPr>
      <w:r>
        <w:rPr>
          <w:b/>
          <w:bCs/>
        </w:rPr>
        <w:t>Pour le secteur industrie branche énergie :</w:t>
      </w:r>
      <w:r>
        <w:t xml:space="preserve"> Il est recommandé de favoriser l'installation de systèmes de production d'énergies renouvelables en lien avec le secteur agricole, et de réaliser en amont des études d'impacts. Il est également recommandé d’évaluer la possibilité de raccorder les exploitations agricoles les plus proches des sites industriels producteurs de chaleur afin de récupérer cette dernière par les exploitations agricoles avec des besoins de chaleur importants.</w:t>
      </w:r>
    </w:p>
    <w:p w14:paraId="528D9721" w14:textId="77777777" w:rsidR="00B721B8" w:rsidRPr="001167C9" w:rsidRDefault="00B721B8" w:rsidP="00055A7C">
      <w:pPr>
        <w:pStyle w:val="QBO-Puces1"/>
        <w:spacing w:after="240"/>
        <w:rPr>
          <w:rFonts w:asciiTheme="majorHAnsi" w:hAnsiTheme="majorHAnsi" w:cstheme="majorHAnsi"/>
        </w:rPr>
      </w:pPr>
      <w:r w:rsidRPr="001167C9">
        <w:rPr>
          <w:b/>
          <w:bCs/>
        </w:rPr>
        <w:t>Pour le secteur agriculture :</w:t>
      </w:r>
      <w:r>
        <w:t xml:space="preserve"> </w:t>
      </w:r>
      <w:r w:rsidRPr="00E85991">
        <w:t>Il est recommandé de faire évoluer le secteur agricole</w:t>
      </w:r>
      <w:r>
        <w:t xml:space="preserve"> en incitant à </w:t>
      </w:r>
      <w:r w:rsidRPr="00E85991">
        <w:t>rédu</w:t>
      </w:r>
      <w:r>
        <w:t>ire</w:t>
      </w:r>
      <w:r w:rsidRPr="00E85991">
        <w:t xml:space="preserve"> des intrants afin de réduire l'impact sur les milieux naturels</w:t>
      </w:r>
      <w:r>
        <w:t xml:space="preserve"> ainsi qu’en accompagnant les </w:t>
      </w:r>
      <w:r w:rsidRPr="00E85991">
        <w:t>nouvelles pratiques agricoles favorisant la biodiversité et le stockage de carbone.</w:t>
      </w:r>
    </w:p>
    <w:p w14:paraId="1CEBC16E" w14:textId="77777777" w:rsidR="00B721B8" w:rsidRPr="00B721B8" w:rsidRDefault="00B721B8" w:rsidP="00B721B8">
      <w:pPr>
        <w:rPr>
          <w:rFonts w:cstheme="minorHAnsi"/>
          <w:b/>
          <w:bCs/>
          <w:i/>
          <w:iCs/>
          <w:color w:val="F3C345" w:themeColor="accent1"/>
          <w:sz w:val="24"/>
          <w:szCs w:val="24"/>
        </w:rPr>
      </w:pPr>
      <w:r w:rsidRPr="00B721B8">
        <w:rPr>
          <w:rFonts w:cstheme="minorHAnsi"/>
          <w:b/>
          <w:bCs/>
          <w:i/>
          <w:iCs/>
          <w:color w:val="F3C345" w:themeColor="accent1"/>
          <w:sz w:val="24"/>
          <w:szCs w:val="24"/>
        </w:rPr>
        <w:t>Mobilités et infrastructures de transport</w:t>
      </w:r>
    </w:p>
    <w:p w14:paraId="1B6856C8" w14:textId="77777777" w:rsidR="00B721B8" w:rsidRPr="00E85991" w:rsidRDefault="00B721B8" w:rsidP="00B721B8">
      <w:pPr>
        <w:pStyle w:val="QBO-Texte"/>
        <w:rPr>
          <w:b/>
          <w:bCs/>
        </w:rPr>
      </w:pPr>
      <w:r w:rsidRPr="00E85991">
        <w:rPr>
          <w:b/>
          <w:bCs/>
        </w:rPr>
        <w:t>Les recommandations :</w:t>
      </w:r>
      <w:r w:rsidRPr="00E85991">
        <w:t xml:space="preserve"> Un certain nombre d’enjeux entoure les </w:t>
      </w:r>
      <w:r w:rsidRPr="00E85991">
        <w:rPr>
          <w:b/>
          <w:bCs/>
        </w:rPr>
        <w:t>mobilités et les infrastructures de transport</w:t>
      </w:r>
      <w:r w:rsidRPr="00E85991">
        <w:t>, report modal vers des modes alternatifs à la voiture individuelles, limiter les déplacements, les nuisances, etc. Des recommandations sont formulées dans ce sens.</w:t>
      </w:r>
    </w:p>
    <w:p w14:paraId="0CD5E484" w14:textId="77777777" w:rsidR="00B721B8" w:rsidRDefault="00B721B8" w:rsidP="00055A7C">
      <w:pPr>
        <w:pStyle w:val="QBO-Puces1"/>
      </w:pPr>
      <w:r w:rsidRPr="009F7811">
        <w:rPr>
          <w:b/>
          <w:bCs/>
        </w:rPr>
        <w:t>Pour</w:t>
      </w:r>
      <w:r w:rsidRPr="009F7811">
        <w:t xml:space="preserve"> </w:t>
      </w:r>
      <w:r w:rsidRPr="009F7811">
        <w:rPr>
          <w:b/>
          <w:bCs/>
        </w:rPr>
        <w:t>les secteurs Tertiaire et Résidentiel :</w:t>
      </w:r>
      <w:r>
        <w:t xml:space="preserve"> Il est recommandé d’intégrer pour les futurs aménagements, la prise en compte de l'offre de transports afin de favoriser l'usage des transports en commun et des modes actifs des habitants du territoire, mais également des territoires limitrophes. Les constructions neuves devraient également prendre en compte le besoin en stationnement protégé pour les vélos ainsi que réfléchir aux besoins futurs des nouvelles mobilités actives (vélo-cargo, etc.) Enfin il est recommandé d’envisager la réduction de l'espace pour la voiture (voie sens unique en lotissement, 1 place de parking voiture pour 3 voitures, etc.).</w:t>
      </w:r>
    </w:p>
    <w:p w14:paraId="04AC55BA" w14:textId="77777777" w:rsidR="00B721B8" w:rsidRDefault="00B721B8" w:rsidP="00055A7C">
      <w:pPr>
        <w:pStyle w:val="QBO-Puces1"/>
      </w:pPr>
      <w:r w:rsidRPr="009F7811">
        <w:rPr>
          <w:b/>
          <w:bCs/>
        </w:rPr>
        <w:t>Pour les transports routiers et non routiers :</w:t>
      </w:r>
      <w:r>
        <w:t xml:space="preserve"> Un certain nombre de recommandations sont faites pour ces secteurs : </w:t>
      </w:r>
    </w:p>
    <w:p w14:paraId="626175C5" w14:textId="77777777" w:rsidR="00B721B8" w:rsidRPr="00B721B8" w:rsidRDefault="00B721B8" w:rsidP="00055A7C">
      <w:pPr>
        <w:pStyle w:val="QBO-Puces1"/>
        <w:numPr>
          <w:ilvl w:val="1"/>
          <w:numId w:val="43"/>
        </w:numPr>
      </w:pPr>
      <w:r w:rsidRPr="00B721B8">
        <w:t>Prise en compte de l’évolution des motorisations, engendrant des modifications de besoins ;</w:t>
      </w:r>
    </w:p>
    <w:p w14:paraId="4FEFDF0E" w14:textId="77777777" w:rsidR="00B721B8" w:rsidRPr="00B721B8" w:rsidRDefault="00B721B8" w:rsidP="00055A7C">
      <w:pPr>
        <w:pStyle w:val="QBO-Puces1"/>
        <w:numPr>
          <w:ilvl w:val="1"/>
          <w:numId w:val="43"/>
        </w:numPr>
      </w:pPr>
      <w:r w:rsidRPr="00B721B8">
        <w:t>L’installation de nouvelles bornes de recharge électriques ;</w:t>
      </w:r>
    </w:p>
    <w:p w14:paraId="404D09C8" w14:textId="77777777" w:rsidR="00B721B8" w:rsidRPr="00B721B8" w:rsidRDefault="00B721B8" w:rsidP="00055A7C">
      <w:pPr>
        <w:pStyle w:val="QBO-Puces1"/>
        <w:numPr>
          <w:ilvl w:val="1"/>
          <w:numId w:val="43"/>
        </w:numPr>
      </w:pPr>
      <w:r w:rsidRPr="00B721B8">
        <w:t>Le développement des infrastructures pour la mobilité active ;</w:t>
      </w:r>
    </w:p>
    <w:p w14:paraId="667D147F" w14:textId="36C8C59F" w:rsidR="00B721B8" w:rsidRPr="00B721B8" w:rsidRDefault="00B721B8" w:rsidP="00055A7C">
      <w:pPr>
        <w:pStyle w:val="QBO-Puces1"/>
        <w:numPr>
          <w:ilvl w:val="1"/>
          <w:numId w:val="43"/>
        </w:numPr>
      </w:pPr>
      <w:r w:rsidRPr="00B721B8">
        <w:t>Déterminer des objectifs de parts modales (</w:t>
      </w:r>
      <w:r w:rsidR="00055A7C">
        <w:t>transports en commun</w:t>
      </w:r>
      <w:r w:rsidRPr="00B721B8">
        <w:t>, voiture, vélo, marche, etc.) ;</w:t>
      </w:r>
    </w:p>
    <w:p w14:paraId="678839FB" w14:textId="77777777" w:rsidR="00B721B8" w:rsidRPr="00B721B8" w:rsidRDefault="00B721B8" w:rsidP="00055A7C">
      <w:pPr>
        <w:pStyle w:val="QBO-Puces1"/>
        <w:numPr>
          <w:ilvl w:val="1"/>
          <w:numId w:val="43"/>
        </w:numPr>
      </w:pPr>
      <w:r w:rsidRPr="00B721B8">
        <w:t>Favoriser le développement du télétravail, du coworking, des tiers-lieux pour limiter les déplacements ;</w:t>
      </w:r>
    </w:p>
    <w:p w14:paraId="702536F6" w14:textId="77777777" w:rsidR="00B721B8" w:rsidRPr="00B721B8" w:rsidRDefault="00B721B8" w:rsidP="00055A7C">
      <w:pPr>
        <w:pStyle w:val="QBO-Puces1"/>
        <w:numPr>
          <w:ilvl w:val="1"/>
          <w:numId w:val="43"/>
        </w:numPr>
      </w:pPr>
      <w:r w:rsidRPr="00B721B8">
        <w:t>Fixer des objectifs chiffrés de nouvelles lignes ou de populations desservies par les transports en commun ;</w:t>
      </w:r>
    </w:p>
    <w:p w14:paraId="5EBA60F8" w14:textId="77777777" w:rsidR="00B721B8" w:rsidRPr="00B721B8" w:rsidRDefault="00B721B8" w:rsidP="00055A7C">
      <w:pPr>
        <w:pStyle w:val="QBO-Puces1"/>
        <w:numPr>
          <w:ilvl w:val="1"/>
          <w:numId w:val="43"/>
        </w:numPr>
      </w:pPr>
      <w:r w:rsidRPr="00B721B8">
        <w:t>Réaliser des aménagements spécifiques aux transports non routiers, afin de favoriser leur usage (plateforme multimodale, connexion rapide depuis les zones d'habitats) ;</w:t>
      </w:r>
    </w:p>
    <w:p w14:paraId="2F26EF9F" w14:textId="77777777" w:rsidR="00B721B8" w:rsidRPr="00B721B8" w:rsidRDefault="00B721B8" w:rsidP="00055A7C">
      <w:pPr>
        <w:pStyle w:val="QBO-Puces1"/>
        <w:numPr>
          <w:ilvl w:val="1"/>
          <w:numId w:val="43"/>
        </w:numPr>
      </w:pPr>
      <w:r w:rsidRPr="00B721B8">
        <w:t>Prendre en compte la synthèse des améliorations pour la ligne Brest-Quimper des conseils de développement du Finistère et de Lorient.</w:t>
      </w:r>
    </w:p>
    <w:p w14:paraId="03C38553" w14:textId="77777777" w:rsidR="00B721B8" w:rsidRDefault="00B721B8" w:rsidP="00055A7C">
      <w:pPr>
        <w:pStyle w:val="QBO-Puces1"/>
      </w:pPr>
      <w:r w:rsidRPr="009F7811">
        <w:rPr>
          <w:b/>
          <w:bCs/>
        </w:rPr>
        <w:t>Pour le secteur des déchets :</w:t>
      </w:r>
      <w:r>
        <w:t xml:space="preserve"> Il est recommandé d’évaluer la baisse estimée et réelle des tonnages afin de pouvoir réduire le nombre de collecte ainsi que de favoriser une collecte des biodéchets en mobilité douce (vélos cargos) et la mise en place de composteurs collectifs.</w:t>
      </w:r>
    </w:p>
    <w:p w14:paraId="7EDE7D77" w14:textId="77777777" w:rsidR="00B721B8" w:rsidRPr="00AE1EF0" w:rsidRDefault="00B721B8" w:rsidP="00055A7C">
      <w:pPr>
        <w:pStyle w:val="QBO-Puces1"/>
        <w:rPr>
          <w:b/>
          <w:bCs/>
        </w:rPr>
      </w:pPr>
      <w:r w:rsidRPr="009F7811">
        <w:rPr>
          <w:b/>
          <w:bCs/>
        </w:rPr>
        <w:lastRenderedPageBreak/>
        <w:t xml:space="preserve">Pour le secteur industrie hors branche énergie : </w:t>
      </w:r>
      <w:r w:rsidRPr="00AE1EF0">
        <w:t>Il est recommandé d'adapter les offres de transport en commun aux aménagements, telles que dans les zones industrielles et de favoriser le télétravail ou les tiers-lieux proches des domiciles pour réduire le transport. Il est également recommandé de construire les infrastructures de mobilité sur les zones déjà artificialisées (densité urbaine).</w:t>
      </w:r>
    </w:p>
    <w:p w14:paraId="388046E7" w14:textId="77777777" w:rsidR="00B721B8" w:rsidRDefault="00B721B8" w:rsidP="00055A7C">
      <w:pPr>
        <w:pStyle w:val="QBO-Puces1"/>
      </w:pPr>
      <w:r>
        <w:rPr>
          <w:b/>
          <w:bCs/>
        </w:rPr>
        <w:t>Pour le secteur industrie branche énergie :</w:t>
      </w:r>
      <w:r>
        <w:t xml:space="preserve"> Il est recommandé de favoriser les réseaux énergétiques existants, et si nécessité de nouveaux réseaux, réfléchir à réaliser ces travaux en lien avec des travaux sur les infrastructures de transport afin de ne pas avoir besoin de faire plusieurs fois des travaux d'infrastructures.</w:t>
      </w:r>
    </w:p>
    <w:p w14:paraId="2C2CCB62" w14:textId="77777777" w:rsidR="00B721B8" w:rsidRPr="001167C9" w:rsidRDefault="00B721B8" w:rsidP="00055A7C">
      <w:pPr>
        <w:pStyle w:val="QBO-Puces1"/>
        <w:spacing w:after="240"/>
        <w:rPr>
          <w:rFonts w:asciiTheme="majorHAnsi" w:hAnsiTheme="majorHAnsi" w:cstheme="majorHAnsi"/>
        </w:rPr>
      </w:pPr>
      <w:r w:rsidRPr="001167C9">
        <w:rPr>
          <w:b/>
          <w:bCs/>
        </w:rPr>
        <w:t>Pour le secteur agriculture :</w:t>
      </w:r>
      <w:r>
        <w:t xml:space="preserve"> Il est recommandé </w:t>
      </w:r>
      <w:r w:rsidRPr="00AE1EF0">
        <w:t>de faire muter les motorisations des engins agricoles et de favoriser les circuits courts (faible transport).</w:t>
      </w:r>
      <w:r>
        <w:t xml:space="preserve"> </w:t>
      </w:r>
    </w:p>
    <w:p w14:paraId="4D8342AC" w14:textId="77777777" w:rsidR="00B721B8" w:rsidRPr="00B721B8" w:rsidRDefault="00B721B8" w:rsidP="00B721B8">
      <w:pPr>
        <w:rPr>
          <w:rFonts w:cstheme="minorHAnsi"/>
          <w:b/>
          <w:bCs/>
          <w:i/>
          <w:iCs/>
          <w:color w:val="F3C345" w:themeColor="accent1"/>
          <w:sz w:val="24"/>
          <w:szCs w:val="24"/>
        </w:rPr>
      </w:pPr>
      <w:r w:rsidRPr="00B721B8">
        <w:rPr>
          <w:rFonts w:cstheme="minorHAnsi"/>
          <w:b/>
          <w:bCs/>
          <w:i/>
          <w:iCs/>
          <w:color w:val="F3C345" w:themeColor="accent1"/>
          <w:sz w:val="24"/>
          <w:szCs w:val="24"/>
        </w:rPr>
        <w:t>Activités industrielles et tertiaires</w:t>
      </w:r>
    </w:p>
    <w:p w14:paraId="3FA192AE" w14:textId="77777777" w:rsidR="00B721B8" w:rsidRPr="00AE1EF0" w:rsidRDefault="00B721B8" w:rsidP="00B721B8">
      <w:pPr>
        <w:pStyle w:val="QBO-Texte"/>
      </w:pPr>
      <w:r w:rsidRPr="00AE1EF0">
        <w:rPr>
          <w:b/>
          <w:bCs/>
        </w:rPr>
        <w:t>Les recommandations </w:t>
      </w:r>
      <w:r w:rsidRPr="00AE1EF0">
        <w:t xml:space="preserve">: Les enjeux associés autour des </w:t>
      </w:r>
      <w:r w:rsidRPr="00AE1EF0">
        <w:rPr>
          <w:b/>
          <w:bCs/>
        </w:rPr>
        <w:t>activités industrielles et tertiaires</w:t>
      </w:r>
      <w:r w:rsidRPr="00AE1EF0">
        <w:t xml:space="preserve"> sont multiples, sobriété énergétique et de surface, mutualisation d’espaces permettant de limiter l’artificialisation des sols, autoconsommation des bâtiments, etc. Les recommandations ci-dessous permettent de répondre à ces enjeux.</w:t>
      </w:r>
    </w:p>
    <w:p w14:paraId="34850104" w14:textId="77777777" w:rsidR="00B721B8" w:rsidRPr="00AE1EF0" w:rsidRDefault="00B721B8" w:rsidP="00055A7C">
      <w:pPr>
        <w:pStyle w:val="QBO-Puces1"/>
        <w:rPr>
          <w:b/>
          <w:bCs/>
        </w:rPr>
      </w:pPr>
      <w:r w:rsidRPr="009F7811">
        <w:rPr>
          <w:b/>
          <w:bCs/>
        </w:rPr>
        <w:t>Pour</w:t>
      </w:r>
      <w:r w:rsidRPr="009F7811">
        <w:t xml:space="preserve"> </w:t>
      </w:r>
      <w:r w:rsidRPr="009F7811">
        <w:rPr>
          <w:b/>
          <w:bCs/>
        </w:rPr>
        <w:t>le secteur Résidentiel :</w:t>
      </w:r>
      <w:r>
        <w:t xml:space="preserve"> </w:t>
      </w:r>
      <w:r w:rsidRPr="00AE1EF0">
        <w:t>Il est recommandé de rapprocher l'habitat des activités industrielles et tertiaires (gain de temps, économie</w:t>
      </w:r>
      <w:r>
        <w:t>s d’énergies</w:t>
      </w:r>
      <w:r w:rsidRPr="00AE1EF0">
        <w:t>) ainsi que de développer de l'habitat modulaire afin de permettre de concilier logement et activité tertiaire ou industrielle (pour les petites sociétés, entrepreneurs, etc.). La rénovation de logements vacants non habitables est également une solution afin d'y installer des activités industrielles et tertiaires.</w:t>
      </w:r>
    </w:p>
    <w:p w14:paraId="6D84CE31" w14:textId="77777777" w:rsidR="00B721B8" w:rsidRPr="00AE1EF0" w:rsidRDefault="00B721B8" w:rsidP="00055A7C">
      <w:pPr>
        <w:pStyle w:val="QBO-Puces1"/>
      </w:pPr>
      <w:r w:rsidRPr="009F7811">
        <w:rPr>
          <w:b/>
          <w:bCs/>
        </w:rPr>
        <w:t>Pour</w:t>
      </w:r>
      <w:r w:rsidRPr="009F7811">
        <w:t xml:space="preserve"> </w:t>
      </w:r>
      <w:r w:rsidRPr="009F7811">
        <w:rPr>
          <w:b/>
          <w:bCs/>
        </w:rPr>
        <w:t>le secteur</w:t>
      </w:r>
      <w:r>
        <w:rPr>
          <w:b/>
          <w:bCs/>
        </w:rPr>
        <w:t xml:space="preserve"> </w:t>
      </w:r>
      <w:r w:rsidRPr="009F7811">
        <w:rPr>
          <w:b/>
          <w:bCs/>
        </w:rPr>
        <w:t>Tertiaire</w:t>
      </w:r>
      <w:r>
        <w:rPr>
          <w:b/>
          <w:bCs/>
        </w:rPr>
        <w:t xml:space="preserve"> </w:t>
      </w:r>
      <w:r w:rsidRPr="009F7811">
        <w:rPr>
          <w:b/>
          <w:bCs/>
        </w:rPr>
        <w:t>:</w:t>
      </w:r>
      <w:r>
        <w:rPr>
          <w:b/>
          <w:bCs/>
        </w:rPr>
        <w:t xml:space="preserve"> </w:t>
      </w:r>
      <w:r w:rsidRPr="00AE1EF0">
        <w:t>Il est recommandé d’encourager la mutualisation des espaces entre entreprises (restaurants, coworking, parkings,</w:t>
      </w:r>
      <w:r>
        <w:t xml:space="preserve"> etc.</w:t>
      </w:r>
      <w:r w:rsidRPr="00AE1EF0">
        <w:t>). Il est de plus préconisé de mettre en place un objectif d'autoconsommation énergétique et de mutualisation des ressources et déchets (Ecologie Industrielle et Territoriale)</w:t>
      </w:r>
    </w:p>
    <w:p w14:paraId="1AE7228B" w14:textId="77777777" w:rsidR="00B721B8" w:rsidRDefault="00B721B8" w:rsidP="00055A7C">
      <w:pPr>
        <w:pStyle w:val="QBO-Puces1"/>
      </w:pPr>
      <w:r w:rsidRPr="009F7811">
        <w:rPr>
          <w:b/>
          <w:bCs/>
        </w:rPr>
        <w:t>Pour les transports routiers et non routiers :</w:t>
      </w:r>
      <w:r>
        <w:t xml:space="preserve"> Il est recommandé d’accompagner les entreprises et structures à établir un plan de mobilité employeur (PDME) ou un Plan de mobilité (PDM) afin de favoriser des modes de déplacements vertueux. Il est également recommandé d’accompagner les activités industrielles et tertiaires vers des équipements de mobilité davantage décarboné (flotte de vélos électriques, voitures hybrides rechargeables ou électriques). Le déploiement de lignes de bus « entreprises » afin de rejoindre les ZAC et zones industrielles ainsi que la mise en place de lieux d’intermodalité (pool gare/transports en commun/vélos), pour les personnes se rendant au travail, sont également à favoriser.</w:t>
      </w:r>
    </w:p>
    <w:p w14:paraId="3024E1F9" w14:textId="77777777" w:rsidR="00B721B8" w:rsidRDefault="00B721B8" w:rsidP="00055A7C">
      <w:pPr>
        <w:pStyle w:val="QBO-Puces1"/>
      </w:pPr>
      <w:r w:rsidRPr="009F7811">
        <w:rPr>
          <w:b/>
          <w:bCs/>
        </w:rPr>
        <w:t>Pour le secteur des déchets :</w:t>
      </w:r>
      <w:r>
        <w:t xml:space="preserve"> Il est recommandé la mise en place d'actions relatives au tri de déchets et à la réduction de ceux-ci à la source afin de réduire l'impact des déchets, et l’accompagnement d’entreprises dans des démarches d'économie circulaire (Ecologie Industrielle Territoriale, Economie de la fonctionnalité) avec un groupe d'entreprises « engagées dans l'économie circulaire ». Il est également conseillé d’employer le programme Territoire Econome en Ressources (TER) afin de réduire le tonnage de déchets des activités économiques.</w:t>
      </w:r>
    </w:p>
    <w:p w14:paraId="11FDDF22" w14:textId="77777777" w:rsidR="00B721B8" w:rsidRDefault="00B721B8" w:rsidP="00055A7C">
      <w:pPr>
        <w:pStyle w:val="QBO-Puces1"/>
      </w:pPr>
      <w:r w:rsidRPr="009F7811">
        <w:rPr>
          <w:b/>
          <w:bCs/>
        </w:rPr>
        <w:t xml:space="preserve">Pour le secteur industrie hors branche énergie : </w:t>
      </w:r>
      <w:r w:rsidRPr="00D118DA">
        <w:t>Il est recommandé de privilégier la coopération entre acteurs (synergies industrielles) permettant de réduire la consommation de foncier, production de déchets et les consommations énergétiques (Ecologie Industrielle et Territoriale)</w:t>
      </w:r>
    </w:p>
    <w:p w14:paraId="5365CE60" w14:textId="77777777" w:rsidR="00B721B8" w:rsidRDefault="00B721B8" w:rsidP="00055A7C">
      <w:pPr>
        <w:pStyle w:val="QBO-Puces1"/>
      </w:pPr>
      <w:r>
        <w:rPr>
          <w:b/>
          <w:bCs/>
        </w:rPr>
        <w:t>Pour le secteur industrie branche énergie :</w:t>
      </w:r>
      <w:r>
        <w:t xml:space="preserve"> </w:t>
      </w:r>
      <w:r w:rsidRPr="00D118DA">
        <w:t>Il est recommandé de réaliser des études d'impacts lors de l'implantation de systèmes de production d'énergies renouvelables</w:t>
      </w:r>
      <w:r>
        <w:t>, avec un aspect spécifique sur les impacts des activités industrielles et tertiaires.</w:t>
      </w:r>
    </w:p>
    <w:p w14:paraId="03AB2D78" w14:textId="77777777" w:rsidR="00B721B8" w:rsidRPr="00212D49" w:rsidRDefault="00B721B8" w:rsidP="00055A7C">
      <w:pPr>
        <w:pStyle w:val="QBO-Puces1"/>
        <w:spacing w:after="240"/>
      </w:pPr>
      <w:r w:rsidRPr="001167C9">
        <w:rPr>
          <w:b/>
          <w:bCs/>
        </w:rPr>
        <w:t>Pour le secteur agriculture :</w:t>
      </w:r>
      <w:r>
        <w:t xml:space="preserve"> Il est conseillé de favoriser l'approvisionnement en circuit-court pour les activités industrielles (agroalimentaire), en rapprochant les activités de transformation des produits agricoles des lieux de production.</w:t>
      </w:r>
    </w:p>
    <w:p w14:paraId="58FBF9FB" w14:textId="77777777" w:rsidR="00B721B8" w:rsidRPr="00B721B8" w:rsidRDefault="00B721B8" w:rsidP="00B721B8">
      <w:pPr>
        <w:rPr>
          <w:rFonts w:cstheme="minorHAnsi"/>
          <w:b/>
          <w:bCs/>
          <w:i/>
          <w:iCs/>
          <w:color w:val="F3C345" w:themeColor="accent1"/>
          <w:sz w:val="24"/>
          <w:szCs w:val="24"/>
        </w:rPr>
      </w:pPr>
      <w:r w:rsidRPr="00B721B8">
        <w:rPr>
          <w:rFonts w:cstheme="minorHAnsi"/>
          <w:b/>
          <w:bCs/>
          <w:i/>
          <w:iCs/>
          <w:color w:val="F3C345" w:themeColor="accent1"/>
          <w:sz w:val="24"/>
          <w:szCs w:val="24"/>
        </w:rPr>
        <w:lastRenderedPageBreak/>
        <w:t>Services publics et parapublics</w:t>
      </w:r>
    </w:p>
    <w:p w14:paraId="55B20486" w14:textId="77777777" w:rsidR="00B721B8" w:rsidRPr="00D118DA" w:rsidRDefault="00B721B8" w:rsidP="00B721B8">
      <w:pPr>
        <w:pStyle w:val="QBO-Texte"/>
        <w:rPr>
          <w:b/>
          <w:bCs/>
        </w:rPr>
      </w:pPr>
      <w:r w:rsidRPr="00D118DA">
        <w:rPr>
          <w:b/>
          <w:bCs/>
        </w:rPr>
        <w:t xml:space="preserve">Les recommandations : </w:t>
      </w:r>
      <w:r w:rsidRPr="00D118DA">
        <w:t xml:space="preserve">Les enjeux associés </w:t>
      </w:r>
      <w:r w:rsidRPr="00D118DA">
        <w:rPr>
          <w:b/>
          <w:bCs/>
        </w:rPr>
        <w:t>des services publics</w:t>
      </w:r>
      <w:r w:rsidRPr="00D118DA">
        <w:t xml:space="preserve"> autour de la stratégie du PCAET peuvent se retranscrire par l’accompagnement des citoyens et entreprises dans leurs démarches d’économies d’énergies ainsi que le développement de politiques environnementales volontaristes, au travers de la commande publique.</w:t>
      </w:r>
    </w:p>
    <w:p w14:paraId="29646990" w14:textId="77777777" w:rsidR="00B721B8" w:rsidRDefault="00B721B8" w:rsidP="00055A7C">
      <w:pPr>
        <w:pStyle w:val="QBO-Puces1"/>
      </w:pPr>
      <w:r w:rsidRPr="009F7811">
        <w:rPr>
          <w:b/>
          <w:bCs/>
        </w:rPr>
        <w:t>Pour</w:t>
      </w:r>
      <w:r w:rsidRPr="009F7811">
        <w:t xml:space="preserve"> </w:t>
      </w:r>
      <w:r w:rsidRPr="009F7811">
        <w:rPr>
          <w:b/>
          <w:bCs/>
        </w:rPr>
        <w:t>les secteurs Tertiaire et Résidentiel :</w:t>
      </w:r>
      <w:r>
        <w:t xml:space="preserve"> Il est recommandé une exemplarité</w:t>
      </w:r>
      <w:r w:rsidRPr="00D118DA">
        <w:t xml:space="preserve"> des services publics et parapublics </w:t>
      </w:r>
      <w:r>
        <w:t>sur le sujet</w:t>
      </w:r>
      <w:r w:rsidRPr="00D118DA">
        <w:t xml:space="preserve"> de la rénovation énergétique. </w:t>
      </w:r>
      <w:r>
        <w:t>Il est de plus conseillé de mettre</w:t>
      </w:r>
      <w:r w:rsidRPr="00D118DA">
        <w:t xml:space="preserve"> en place un guichet unique pour les particuliers et lancer des mesures de soutien à la rénovation.</w:t>
      </w:r>
    </w:p>
    <w:p w14:paraId="0C328DD6" w14:textId="77777777" w:rsidR="00B721B8" w:rsidRDefault="00B721B8" w:rsidP="00055A7C">
      <w:pPr>
        <w:pStyle w:val="QBO-Puces1"/>
      </w:pPr>
      <w:r w:rsidRPr="009F7811">
        <w:rPr>
          <w:b/>
          <w:bCs/>
        </w:rPr>
        <w:t>Pour les transports routiers et non routiers :</w:t>
      </w:r>
      <w:r>
        <w:t xml:space="preserve"> Il est recommandé de faire des moyens de transports de la fonction publique les ambassadeurs de la transition énergétique (achat de VE, journées découvertes, etc.). L’exemplarité des services publics quant aux moyens mis à disposition pour la mobilité active (bornes de recharge pour véhicules électriques, parkings vélos sécurisés, flotte de voitures électriques, etc.) ainsi que le déploiement d’un plan de mobilité collectivité sont également conseillés. Enfin il est recommandé que la collectivité encourage les agents de la fonction publique à prendre le train.</w:t>
      </w:r>
    </w:p>
    <w:p w14:paraId="0A77FA07" w14:textId="77777777" w:rsidR="00B721B8" w:rsidRDefault="00B721B8" w:rsidP="00055A7C">
      <w:pPr>
        <w:pStyle w:val="QBO-Puces1"/>
      </w:pPr>
      <w:r w:rsidRPr="009F7811">
        <w:rPr>
          <w:b/>
          <w:bCs/>
        </w:rPr>
        <w:t>Pour le secteur des déchets :</w:t>
      </w:r>
      <w:r>
        <w:t xml:space="preserve"> Il est recommandé de faire des services publics, des exemples de réduction, réutilisation et recyclage des déchets, avec des objectifs du territoire (dans le cadre de son PLPDMA) alignés sur les objectifs supérieurs (PRPGD notamment).</w:t>
      </w:r>
    </w:p>
    <w:p w14:paraId="37BF8342" w14:textId="77777777" w:rsidR="00B721B8" w:rsidRPr="00EF2E9D" w:rsidRDefault="00B721B8" w:rsidP="00055A7C">
      <w:pPr>
        <w:pStyle w:val="QBO-Puces1"/>
        <w:rPr>
          <w:b/>
          <w:bCs/>
        </w:rPr>
      </w:pPr>
      <w:r w:rsidRPr="009F7811">
        <w:rPr>
          <w:b/>
          <w:bCs/>
        </w:rPr>
        <w:t xml:space="preserve">Pour le secteur industrie hors branche énergie : </w:t>
      </w:r>
      <w:r w:rsidRPr="00EF2E9D">
        <w:t>Il est recommandé de mettre en place un réseau alliant services publics et industriels pour les aider à s'engager fortement vers la réduction des consommations d'énergie et émissions de GES. Un accompagnement des services publics à la transition du secteur industrie (aides financières, accompagnement projets d'énergies renouvelables) est conseillé.</w:t>
      </w:r>
    </w:p>
    <w:p w14:paraId="491B54F7" w14:textId="77777777" w:rsidR="00B721B8" w:rsidRDefault="00B721B8" w:rsidP="00055A7C">
      <w:pPr>
        <w:pStyle w:val="QBO-Puces1"/>
      </w:pPr>
      <w:r>
        <w:rPr>
          <w:b/>
          <w:bCs/>
        </w:rPr>
        <w:t>Pour le secteur industrie branche énergie :</w:t>
      </w:r>
      <w:r>
        <w:t xml:space="preserve"> Il est recommandé de faire des services publics les médiateurs de projets énergétiques citoyens. Les services publics peuvent impulser et accompagner les projets de production d'énergie renouvelables sur des sites industriels.</w:t>
      </w:r>
    </w:p>
    <w:p w14:paraId="38976757" w14:textId="77777777" w:rsidR="00B721B8" w:rsidRPr="00EF2E9D" w:rsidRDefault="00B721B8" w:rsidP="00055A7C">
      <w:pPr>
        <w:pStyle w:val="QBO-Puces1"/>
        <w:spacing w:before="240" w:after="240"/>
      </w:pPr>
      <w:r w:rsidRPr="001167C9">
        <w:rPr>
          <w:b/>
          <w:bCs/>
        </w:rPr>
        <w:t>Pour le secteur agriculture :</w:t>
      </w:r>
      <w:r>
        <w:t xml:space="preserve"> Il est conseillé la mise en place d’un réseau alliant services publics et agriculteurs pour les aider à s'engager fortement vers la réduction des consommations d'énergie et émissions de GES. Les services publics et parapublics pouvant être des clients importants pour le secteur agricole du territoire, il est recommandé d’intégrer des clauses de production biologique dans les marchés de restauration collective (scolaire, pour les agents, etc.). Par ailleurs, un enjeu d’accompagnement social est particulièrement prégnant pour le secteur agricole ; il est recommandé que la collectivité s’implique sur ce sujet afin de concilier transition écologique et enjeux socio-économiques de l’agriculture.</w:t>
      </w:r>
    </w:p>
    <w:p w14:paraId="236445C1" w14:textId="77777777" w:rsidR="00B721B8" w:rsidRPr="00B721B8" w:rsidRDefault="00B721B8" w:rsidP="00B721B8">
      <w:pPr>
        <w:rPr>
          <w:rFonts w:cstheme="minorHAnsi"/>
          <w:b/>
          <w:bCs/>
          <w:i/>
          <w:iCs/>
          <w:color w:val="F3C345" w:themeColor="accent1"/>
          <w:sz w:val="24"/>
          <w:szCs w:val="24"/>
        </w:rPr>
      </w:pPr>
      <w:r w:rsidRPr="00B721B8">
        <w:rPr>
          <w:rFonts w:cstheme="minorHAnsi"/>
          <w:b/>
          <w:bCs/>
          <w:i/>
          <w:iCs/>
          <w:color w:val="F3C345" w:themeColor="accent1"/>
          <w:sz w:val="24"/>
          <w:szCs w:val="24"/>
        </w:rPr>
        <w:t>Patrimoine et paysages</w:t>
      </w:r>
    </w:p>
    <w:p w14:paraId="58D4CC16" w14:textId="77777777" w:rsidR="00B721B8" w:rsidRPr="00EF2E9D" w:rsidRDefault="00B721B8" w:rsidP="00B721B8">
      <w:pPr>
        <w:pStyle w:val="QBO-Texte"/>
        <w:rPr>
          <w:b/>
          <w:bCs/>
        </w:rPr>
      </w:pPr>
      <w:r w:rsidRPr="00EF2E9D">
        <w:rPr>
          <w:b/>
          <w:bCs/>
        </w:rPr>
        <w:t>Les recommandations : Le patrimoine et les paysages</w:t>
      </w:r>
      <w:r w:rsidRPr="00EF2E9D">
        <w:t xml:space="preserve"> comprennent un certain nombre d’enjeux, notamment l’aménagement des bâtiments patrimoniaux sans détérioration de leur valeur historique ou bien encore la réduction de l’étalement urbain, particulièrement sur la frange littorale du territoire.</w:t>
      </w:r>
    </w:p>
    <w:p w14:paraId="76A65310" w14:textId="77777777" w:rsidR="00B721B8" w:rsidRDefault="00B721B8" w:rsidP="00055A7C">
      <w:pPr>
        <w:pStyle w:val="QBO-Puces1"/>
      </w:pPr>
      <w:r w:rsidRPr="009F7811">
        <w:rPr>
          <w:b/>
          <w:bCs/>
        </w:rPr>
        <w:t>Pour</w:t>
      </w:r>
      <w:r w:rsidRPr="009F7811">
        <w:t xml:space="preserve"> </w:t>
      </w:r>
      <w:r w:rsidRPr="009F7811">
        <w:rPr>
          <w:b/>
          <w:bCs/>
        </w:rPr>
        <w:t>les secteurs Tertiaire et Résidentiel :</w:t>
      </w:r>
      <w:r>
        <w:t xml:space="preserve"> Il est recommandé de réaliser des études d'impacts en amont des projets de rénovations et de constructions des bâtiments résidentiels et tertiaires, afin de ne pas engendrer de dégradation sur la biodiversité et les continuités écologiques par exemple. Il est également conseillé de mener une réflexion sur l'intégration des bâtiments au sein du patrimoine architectural, avant toute opération.</w:t>
      </w:r>
    </w:p>
    <w:p w14:paraId="65CD7C4E" w14:textId="77777777" w:rsidR="00B721B8" w:rsidRDefault="00B721B8" w:rsidP="00055A7C">
      <w:pPr>
        <w:pStyle w:val="QBO-Puces1"/>
      </w:pPr>
      <w:r w:rsidRPr="009F7811">
        <w:rPr>
          <w:b/>
          <w:bCs/>
        </w:rPr>
        <w:t>Pour les transports routiers et non routiers :</w:t>
      </w:r>
      <w:r>
        <w:t xml:space="preserve"> </w:t>
      </w:r>
      <w:r w:rsidRPr="00EF2E9D">
        <w:t xml:space="preserve">Il est recommandé de réaliser des études d'impacts en amont des projets de rénovations et de constructions des infrastructures routières afin de ne pas engendrer de dégradation sur la biodiversité et les continuités écologiques par exemple. </w:t>
      </w:r>
      <w:r>
        <w:t>Il est conseillé de p</w:t>
      </w:r>
      <w:r w:rsidRPr="00EF2E9D">
        <w:t>rivilégier les solutions de changement de locomotion (voiture vers bus) plutôt que l'augmentation des infrastructures.</w:t>
      </w:r>
    </w:p>
    <w:p w14:paraId="1726A0F8" w14:textId="77777777" w:rsidR="00B721B8" w:rsidRDefault="00B721B8" w:rsidP="00055A7C">
      <w:pPr>
        <w:pStyle w:val="QBO-Puces1"/>
      </w:pPr>
      <w:r w:rsidRPr="009F7811">
        <w:rPr>
          <w:b/>
          <w:bCs/>
        </w:rPr>
        <w:lastRenderedPageBreak/>
        <w:t>Pour le secteur des déchets :</w:t>
      </w:r>
      <w:r>
        <w:t xml:space="preserve"> Il est recommandé de sensibiliser les usagers du territoire à la réduction des déchets à la source et au tri, afin que ces derniers ne dégradent pas le milieu naturel. Il est conseillé d’échanger et aider la police de l'environnement afin qu’elle soit davantage coercitive concernant les décharges sauvages, particulièrement celles pouvant se trouver au sein d'espaces naturels protégés, sensibles.</w:t>
      </w:r>
    </w:p>
    <w:p w14:paraId="3FF9FB66" w14:textId="77777777" w:rsidR="00B721B8" w:rsidRDefault="00B721B8" w:rsidP="00055A7C">
      <w:pPr>
        <w:pStyle w:val="QBO-Puces1"/>
      </w:pPr>
      <w:r w:rsidRPr="009F7811">
        <w:rPr>
          <w:b/>
          <w:bCs/>
        </w:rPr>
        <w:t xml:space="preserve">Pour le secteur industrie hors branche énergie : </w:t>
      </w:r>
      <w:r w:rsidRPr="006B3B91">
        <w:t>Il est recommandé de réaliser des études d'impacts en amont des projets de rénovations et de constructions des bâtiments industriels afin de ne pas engendrer de dégradation sur la biodiversité et les continuités écologiques par exemple. Il est également recommandé d’encourager à la renaturation des sites industriels.</w:t>
      </w:r>
    </w:p>
    <w:p w14:paraId="3FF9392E" w14:textId="77777777" w:rsidR="00B721B8" w:rsidRDefault="00B721B8" w:rsidP="00055A7C">
      <w:pPr>
        <w:pStyle w:val="QBO-Puces1"/>
      </w:pPr>
      <w:r>
        <w:rPr>
          <w:b/>
          <w:bCs/>
        </w:rPr>
        <w:t>Pour le secteur industrie branche énergie :</w:t>
      </w:r>
      <w:r>
        <w:t xml:space="preserve"> </w:t>
      </w:r>
      <w:r w:rsidRPr="006B3B91">
        <w:t xml:space="preserve">Il est recommandé de réaliser des études d'impacts lors de l'implantation de systèmes de production d'énergies renouvelables, afin de ne pas dégrader le patrimoine naturel du territoire, et de privilégier le </w:t>
      </w:r>
      <w:r>
        <w:t xml:space="preserve">« renouvellement » (consiste à remplacer tout ou partie d’anciennes infrastructures énergétiques par de nouvelles, sur le même site) </w:t>
      </w:r>
      <w:r w:rsidRPr="006B3B91">
        <w:t>lorsque c'est possible.</w:t>
      </w:r>
    </w:p>
    <w:p w14:paraId="639B5113" w14:textId="5F8E0EDE" w:rsidR="00073F43" w:rsidRPr="00331E70" w:rsidRDefault="00B721B8" w:rsidP="00055A7C">
      <w:pPr>
        <w:pStyle w:val="QBO-Puces1"/>
      </w:pPr>
      <w:r w:rsidRPr="00B721B8">
        <w:rPr>
          <w:b/>
          <w:bCs/>
        </w:rPr>
        <w:t>Pour le secteur agriculture :</w:t>
      </w:r>
      <w:r>
        <w:t xml:space="preserve"> </w:t>
      </w:r>
      <w:r w:rsidRPr="006B3B91">
        <w:t xml:space="preserve">Il </w:t>
      </w:r>
      <w:r>
        <w:t xml:space="preserve">est recommandé </w:t>
      </w:r>
      <w:r w:rsidRPr="006B3B91">
        <w:t xml:space="preserve">d'adapter les pratiques agricoles aux évolutions climatiques mais également à l'évolution de la demande des usagers. L'agriculture peut aussi être source de diversité pour le paysage qu'il </w:t>
      </w:r>
      <w:r>
        <w:t>conviendra</w:t>
      </w:r>
      <w:r w:rsidRPr="006B3B91">
        <w:t xml:space="preserve"> accompagner</w:t>
      </w:r>
      <w:r>
        <w:t>.</w:t>
      </w:r>
    </w:p>
    <w:p w14:paraId="49CA1655" w14:textId="6A2A3E0E" w:rsidR="009D5530" w:rsidRPr="00B721B8" w:rsidRDefault="007E57EC" w:rsidP="00B721B8">
      <w:pPr>
        <w:pStyle w:val="Titre2"/>
        <w:jc w:val="both"/>
      </w:pPr>
      <w:bookmarkStart w:id="59" w:name="_Toc179277414"/>
      <w:r w:rsidRPr="00B721B8">
        <w:t>Analyse des incidences environnementales du p</w:t>
      </w:r>
      <w:r w:rsidR="00B721B8" w:rsidRPr="00B721B8">
        <w:t>rogramme</w:t>
      </w:r>
      <w:r w:rsidRPr="00B721B8">
        <w:t xml:space="preserve"> d’action</w:t>
      </w:r>
      <w:r w:rsidR="00B721B8" w:rsidRPr="00B721B8">
        <w:t>s</w:t>
      </w:r>
      <w:bookmarkEnd w:id="59"/>
    </w:p>
    <w:p w14:paraId="68C79CCF" w14:textId="670C9C1F" w:rsidR="009D5530" w:rsidRPr="00B721B8" w:rsidRDefault="007E57EC" w:rsidP="00055A7C">
      <w:pPr>
        <w:pStyle w:val="QBO-Texte"/>
      </w:pPr>
      <w:r w:rsidRPr="00B721B8">
        <w:t xml:space="preserve">Afin d’en évaluer la cohérence avec les thématiques environnementales du PCAET, il a été réalisé une analyse des incidences environnementales de la totalité des actions retenues. À la suite d’ajustements (liés à l’évaluation environnementale mais aussi à un travail collaboratif avec les partenaires de la collectivité), le </w:t>
      </w:r>
      <w:r w:rsidR="00B721B8" w:rsidRPr="00B721B8">
        <w:t>programme</w:t>
      </w:r>
      <w:r w:rsidRPr="00B721B8">
        <w:t xml:space="preserve"> d’action</w:t>
      </w:r>
      <w:r w:rsidR="00B721B8" w:rsidRPr="00B721B8">
        <w:t>s</w:t>
      </w:r>
      <w:r w:rsidRPr="00B721B8">
        <w:t xml:space="preserve"> a été modifié.</w:t>
      </w:r>
    </w:p>
    <w:p w14:paraId="4CD79A8C" w14:textId="25DF9D03" w:rsidR="009D5530" w:rsidRPr="00836C5A" w:rsidRDefault="007E57EC" w:rsidP="00055A7C">
      <w:pPr>
        <w:pStyle w:val="QBO-Texte"/>
      </w:pPr>
      <w:r w:rsidRPr="00836C5A">
        <w:t xml:space="preserve">Ainsi, dans la version finale, le </w:t>
      </w:r>
      <w:r w:rsidR="00B721B8" w:rsidRPr="00836C5A">
        <w:t xml:space="preserve">programme d’actions </w:t>
      </w:r>
      <w:r w:rsidRPr="00836C5A">
        <w:t xml:space="preserve">du PCAET de la </w:t>
      </w:r>
      <w:r w:rsidR="00CC22B1" w:rsidRPr="00836C5A">
        <w:t>Communauté d’agglomération</w:t>
      </w:r>
      <w:r w:rsidRPr="00836C5A">
        <w:t xml:space="preserve"> de </w:t>
      </w:r>
      <w:r w:rsidR="00B721B8" w:rsidRPr="00836C5A">
        <w:t>Quimper Bretagne Occidentale</w:t>
      </w:r>
      <w:r w:rsidRPr="00836C5A">
        <w:t xml:space="preserve"> se décompose en </w:t>
      </w:r>
      <w:r w:rsidR="00836C5A" w:rsidRPr="00836C5A">
        <w:t>28</w:t>
      </w:r>
      <w:r w:rsidRPr="00836C5A">
        <w:t xml:space="preserve"> actions réparties selon </w:t>
      </w:r>
      <w:r w:rsidR="00B721B8" w:rsidRPr="00836C5A">
        <w:t>6</w:t>
      </w:r>
      <w:r w:rsidRPr="00836C5A">
        <w:t xml:space="preserve"> axes :</w:t>
      </w:r>
    </w:p>
    <w:p w14:paraId="07826EBC" w14:textId="650933FF" w:rsidR="00B721B8" w:rsidRPr="00836C5A" w:rsidRDefault="007E57EC" w:rsidP="00055A7C">
      <w:pPr>
        <w:pStyle w:val="QBO-Puces1"/>
      </w:pPr>
      <w:r w:rsidRPr="00836C5A">
        <w:t>A</w:t>
      </w:r>
      <w:r w:rsidR="00B721B8" w:rsidRPr="00836C5A">
        <w:t>XE 1 : Favoriser un territoire sobre et autonome en énergie ;</w:t>
      </w:r>
    </w:p>
    <w:p w14:paraId="31DED4E0" w14:textId="77777777" w:rsidR="00B721B8" w:rsidRPr="00836C5A" w:rsidRDefault="00B721B8" w:rsidP="00055A7C">
      <w:pPr>
        <w:pStyle w:val="QBO-Puces1"/>
      </w:pPr>
      <w:r w:rsidRPr="00836C5A">
        <w:t>AXE 2 : Agir en faveur d’une mobilité plus sobre et robuste ;</w:t>
      </w:r>
    </w:p>
    <w:p w14:paraId="4C996027" w14:textId="77777777" w:rsidR="00B721B8" w:rsidRPr="00836C5A" w:rsidRDefault="00B721B8" w:rsidP="00055A7C">
      <w:pPr>
        <w:pStyle w:val="QBO-Puces1"/>
      </w:pPr>
      <w:r w:rsidRPr="00836C5A">
        <w:t>AXE 3 : Améliorer la performance énergétique et climatique des bâtiments ;</w:t>
      </w:r>
    </w:p>
    <w:p w14:paraId="330A9CA6" w14:textId="77777777" w:rsidR="00B721B8" w:rsidRPr="00836C5A" w:rsidRDefault="00B721B8" w:rsidP="00055A7C">
      <w:pPr>
        <w:pStyle w:val="QBO-Puces1"/>
      </w:pPr>
      <w:r w:rsidRPr="00836C5A">
        <w:t>AXE 4 : Accompagner la filière agricole vers une filière locale, attractive et toujours plus respectueuse de l’environnement ;</w:t>
      </w:r>
    </w:p>
    <w:p w14:paraId="6CE772B3" w14:textId="48922781" w:rsidR="00B721B8" w:rsidRPr="00836C5A" w:rsidRDefault="00B721B8" w:rsidP="00055A7C">
      <w:pPr>
        <w:pStyle w:val="QBO-Puces1"/>
      </w:pPr>
      <w:r w:rsidRPr="00836C5A">
        <w:t xml:space="preserve">AXE 5 : </w:t>
      </w:r>
      <w:r w:rsidR="00C12AC9" w:rsidRPr="00836C5A">
        <w:t>Protéger les espaces naturels, les ressources et la biodiversité et réduire la vulnérabilité du territoire au changement climatique</w:t>
      </w:r>
      <w:r w:rsidR="00C12AC9">
        <w:t xml:space="preserve"> </w:t>
      </w:r>
      <w:r w:rsidRPr="00836C5A">
        <w:t>;</w:t>
      </w:r>
    </w:p>
    <w:p w14:paraId="561BF349" w14:textId="1BA29DF3" w:rsidR="00B721B8" w:rsidRPr="00836C5A" w:rsidRDefault="00B721B8" w:rsidP="00055A7C">
      <w:pPr>
        <w:pStyle w:val="QBO-Puces1"/>
        <w:spacing w:after="240"/>
      </w:pPr>
      <w:r w:rsidRPr="00836C5A">
        <w:t>AXE 6 :</w:t>
      </w:r>
      <w:r w:rsidR="00C12AC9" w:rsidRPr="00C12AC9">
        <w:t xml:space="preserve"> </w:t>
      </w:r>
      <w:r w:rsidR="00C12AC9" w:rsidRPr="00836C5A">
        <w:t>Développer l’exemplarité de la collectivité</w:t>
      </w:r>
      <w:r w:rsidRPr="00836C5A">
        <w:t xml:space="preserve">. </w:t>
      </w:r>
    </w:p>
    <w:p w14:paraId="2E21ED79" w14:textId="5A50D4FA" w:rsidR="00B721B8" w:rsidRDefault="00B721B8" w:rsidP="00B721B8">
      <w:pPr>
        <w:pStyle w:val="QBO-Texte"/>
      </w:pPr>
      <w:r>
        <w:t>Ces axes se déclinent en fiches actions, présentant de façon détaillée la mise en place opérationnelle de ces dernières.</w:t>
      </w:r>
    </w:p>
    <w:p w14:paraId="07D6DBF1" w14:textId="794DFEDC" w:rsidR="009D5530" w:rsidRPr="00B721B8" w:rsidRDefault="00B721B8" w:rsidP="00B721B8">
      <w:pPr>
        <w:pStyle w:val="QBO-Texte"/>
      </w:pPr>
      <w:r w:rsidRPr="00CF45F8">
        <w:t>Afin de mieux prendre en compte les incidences environnementales d</w:t>
      </w:r>
      <w:r>
        <w:t>u programme d’actions</w:t>
      </w:r>
      <w:r w:rsidRPr="00CF45F8">
        <w:t xml:space="preserve"> du PCAET, des recommandations ont donc été formulées.</w:t>
      </w:r>
    </w:p>
    <w:p w14:paraId="5ADCA325" w14:textId="77777777" w:rsidR="00B721B8" w:rsidRPr="00B721B8" w:rsidRDefault="00B721B8" w:rsidP="00B721B8">
      <w:pPr>
        <w:rPr>
          <w:rStyle w:val="Accentuationintense"/>
          <w:sz w:val="24"/>
          <w:szCs w:val="28"/>
        </w:rPr>
      </w:pPr>
      <w:r w:rsidRPr="00B721B8">
        <w:rPr>
          <w:rStyle w:val="Accentuationintense"/>
          <w:sz w:val="24"/>
          <w:szCs w:val="28"/>
        </w:rPr>
        <w:t xml:space="preserve">Adaptation au changement climatique </w:t>
      </w:r>
    </w:p>
    <w:p w14:paraId="5D6BA14D" w14:textId="77777777" w:rsidR="00B721B8" w:rsidRPr="006C354C" w:rsidRDefault="00B721B8" w:rsidP="00B721B8">
      <w:pPr>
        <w:pStyle w:val="QBO-Texte"/>
        <w:rPr>
          <w:b/>
          <w:bCs/>
        </w:rPr>
      </w:pPr>
      <w:r w:rsidRPr="006C354C">
        <w:rPr>
          <w:b/>
          <w:bCs/>
        </w:rPr>
        <w:t xml:space="preserve">Les recommandations : </w:t>
      </w:r>
      <w:r w:rsidRPr="006C354C">
        <w:t xml:space="preserve">Plusieurs recommandations sont faites pour limiter ces impacts et adapter le territoire </w:t>
      </w:r>
      <w:r w:rsidRPr="006C354C">
        <w:rPr>
          <w:b/>
          <w:bCs/>
        </w:rPr>
        <w:t xml:space="preserve">au changement climatique. </w:t>
      </w:r>
    </w:p>
    <w:p w14:paraId="0517DF2B" w14:textId="77777777" w:rsidR="00B721B8" w:rsidRPr="00806D4B" w:rsidRDefault="00B721B8" w:rsidP="00055A7C">
      <w:pPr>
        <w:pStyle w:val="QBO-Puces1"/>
      </w:pPr>
      <w:r w:rsidRPr="00806D4B">
        <w:rPr>
          <w:b/>
          <w:bCs/>
        </w:rPr>
        <w:t>Pour</w:t>
      </w:r>
      <w:r w:rsidRPr="00806D4B">
        <w:t xml:space="preserve"> </w:t>
      </w:r>
      <w:r w:rsidRPr="00806D4B">
        <w:rPr>
          <w:b/>
          <w:bCs/>
        </w:rPr>
        <w:t>les secteurs Tertiaire et Résidentiel :</w:t>
      </w:r>
      <w:r w:rsidRPr="00806D4B">
        <w:t xml:space="preserve"> Il conviendrait </w:t>
      </w:r>
      <w:r>
        <w:t>que les documents d’urbanisme fixent des règles d’encadrement de l’imperméabilisation de sols, sur tous les secteurs du territoire, dans les zones déjà urbanisées comme celles où des projets d’aménagement sont prévus.</w:t>
      </w:r>
      <w:r w:rsidRPr="00806D4B">
        <w:t xml:space="preserve"> Il est également recommandé de mettre en place </w:t>
      </w:r>
      <w:r>
        <w:t xml:space="preserve">au sein des documents d’urbanisme </w:t>
      </w:r>
      <w:r w:rsidRPr="00806D4B">
        <w:t xml:space="preserve">des objectifs de densification du bâti afin de réduire l'étalement urbain (en lien avec l’objectif Zéro Artificialisation Nette en 2050) ainsi que de mieux prendre en compte le niveau de confort </w:t>
      </w:r>
      <w:r w:rsidRPr="00806D4B">
        <w:lastRenderedPageBreak/>
        <w:t xml:space="preserve">d'été (dans les constructions neuves mais également les rénovations). </w:t>
      </w:r>
      <w:r>
        <w:t xml:space="preserve">Il est conseillé d’avoir une réflexion sur l’usage des bâtiments (inoccupés le week-end, etc.) en lien avec les associations du territoire. </w:t>
      </w:r>
      <w:r w:rsidRPr="00806D4B">
        <w:t>De plus, l’intégration d'un objectif de coefficient de réflexion (ou d’albédo, matériaux clairs sur les toitures) au sein des futures constructions permettrait davantage d’adapter ces dernières au changement climatique. Il est recommandé d’intégrer dans l’accompagnement et la sensibilisation aux habitants et aux acteurs économiques du territoire les sujets autour de l’adaptation (inondations, îlot de chaleur urbain, etc.). Enfin, dans l’optique de réduire les impacts du changement climatique, il convient de développer les synergies et liens sociaux entre acteurs économiques (démarche d’Ecologie Industrielle et Territoriale) mais également entre habitants (développement des jardins partagés).</w:t>
      </w:r>
    </w:p>
    <w:p w14:paraId="7FD92013" w14:textId="77777777" w:rsidR="00B721B8" w:rsidRPr="00806D4B" w:rsidRDefault="00B721B8" w:rsidP="00055A7C">
      <w:pPr>
        <w:pStyle w:val="QBO-Puces1"/>
      </w:pPr>
      <w:r w:rsidRPr="00806D4B">
        <w:rPr>
          <w:b/>
          <w:bCs/>
        </w:rPr>
        <w:t>Pour les transports routiers et non routiers :</w:t>
      </w:r>
      <w:r w:rsidRPr="00806D4B">
        <w:t xml:space="preserve"> Il serait souhaitable d’identifier les infrastructures les plus exposées aux risques liés au changement climatique (fortes chaleurs, etc.) et d’adapter les aménagements (désimperméabilisation partielle, végétalisation en bord de route, choix des matériaux utilisés, etc.)</w:t>
      </w:r>
      <w:r>
        <w:t>, avec une action spécifique sur la place du végétal à proximité des aires de covoiturage et des aménagements cyclables.</w:t>
      </w:r>
      <w:r w:rsidRPr="00806D4B">
        <w:t xml:space="preserve"> Il est recommandé d’avoir une réflexion et de mener une veille sur les techniques d'enrobage routier et peinture permettant d'augmenter le coefficient de réflexion</w:t>
      </w:r>
      <w:r>
        <w:t xml:space="preserve"> (albédo). Il est conseillé de former les professionnels de la mobilité du territoire (entreprises de fret, QUB, etc.) aux conséquences du changement climatique tout en évaluant les impacts futurs du changement climatique concernant les transports routiers et non routiers. Il est également recommandé d’avoir une réflexion sur l’intégration des aléas climatiques futurs dans la gestion des infrastructures de transports en commun ainsi que dans celle des infrastructures routières (avec une attention particulière sur le risque inondation). </w:t>
      </w:r>
    </w:p>
    <w:p w14:paraId="47B08697" w14:textId="77777777" w:rsidR="00B721B8" w:rsidRPr="00A0492C" w:rsidRDefault="00B721B8" w:rsidP="00055A7C">
      <w:pPr>
        <w:pStyle w:val="QBO-Puces1"/>
      </w:pPr>
      <w:r w:rsidRPr="00A0492C">
        <w:rPr>
          <w:b/>
          <w:bCs/>
        </w:rPr>
        <w:t>Pour le secteur des déchets :</w:t>
      </w:r>
      <w:r w:rsidRPr="00A0492C">
        <w:t xml:space="preserve"> Il est recommandé d’adapter la collecte ainsi que le traitement des déchets aux aléas climatiques actuels et à venir (horaire</w:t>
      </w:r>
      <w:r>
        <w:t>s</w:t>
      </w:r>
      <w:r w:rsidRPr="00A0492C">
        <w:t xml:space="preserve"> de collecte pouvant être aménagés en fonction des températures, déchets dangereux à stocker sous une certaine température, etc.). </w:t>
      </w:r>
    </w:p>
    <w:p w14:paraId="5A283B47" w14:textId="77777777" w:rsidR="00B721B8" w:rsidRPr="00A0492C" w:rsidRDefault="00B721B8" w:rsidP="00055A7C">
      <w:pPr>
        <w:pStyle w:val="QBO-Puces1"/>
      </w:pPr>
      <w:r w:rsidRPr="00A0492C">
        <w:rPr>
          <w:b/>
          <w:bCs/>
        </w:rPr>
        <w:t xml:space="preserve">Pour le secteur industrie hors branche énergie : </w:t>
      </w:r>
      <w:r w:rsidRPr="00A0492C">
        <w:t>Lors de futures constructions industrielles, il est recommandé de prendre en compte les évolutions attendues du climat (sécheresse, montée du niveau de la mer</w:t>
      </w:r>
      <w:r>
        <w:t>, etc.</w:t>
      </w:r>
      <w:r w:rsidRPr="00A0492C">
        <w:t xml:space="preserve">), ainsi que </w:t>
      </w:r>
      <w:r>
        <w:t xml:space="preserve">réduire fortement </w:t>
      </w:r>
      <w:r w:rsidRPr="00A0492C">
        <w:t xml:space="preserve">l'imperméabilisation des sols </w:t>
      </w:r>
      <w:r>
        <w:t xml:space="preserve">en fixant des règles </w:t>
      </w:r>
      <w:r w:rsidRPr="00A0492C">
        <w:t>dans les documents d'urbanisme. Les protocoles de sécurité doivent être modifiés/renforcés afin de prendre en compte l'augmentation des aléas climatiques.</w:t>
      </w:r>
      <w:r>
        <w:t xml:space="preserve"> </w:t>
      </w:r>
      <w:r w:rsidRPr="00A0492C">
        <w:t xml:space="preserve">Il est conseillé d’accompagner les entreprises industrielles du territoire à </w:t>
      </w:r>
      <w:r>
        <w:t>réduire leur</w:t>
      </w:r>
      <w:r w:rsidRPr="00A0492C">
        <w:t xml:space="preserve"> consommation de ressources naturelles (particulièrement la ressource en eau mais également les matériaux ave</w:t>
      </w:r>
      <w:r>
        <w:t>c</w:t>
      </w:r>
      <w:r w:rsidRPr="00A0492C">
        <w:t xml:space="preserve"> l’économie circulaire) afin d’être davantage résilient</w:t>
      </w:r>
      <w:r>
        <w:t>, pour cela il est intéressant de promouvoir l’économie circulaire en développant des programmes d’Ecologie Industrielle et Territoriale (EIT) au sein de ZAE.</w:t>
      </w:r>
    </w:p>
    <w:p w14:paraId="5476E643" w14:textId="77777777" w:rsidR="00B721B8" w:rsidRPr="00A0492C" w:rsidRDefault="00B721B8" w:rsidP="00055A7C">
      <w:pPr>
        <w:pStyle w:val="QBO-Puces1"/>
      </w:pPr>
      <w:r w:rsidRPr="00A0492C">
        <w:rPr>
          <w:b/>
          <w:bCs/>
        </w:rPr>
        <w:t>Pour le secteur industrie branche énergie :</w:t>
      </w:r>
      <w:r w:rsidRPr="00A0492C">
        <w:t xml:space="preserve"> Il est recommandé de prendre en compte l'adaptation au changement climatique dans les projets de développement des énergies renouvelables ainsi que de favoriser les technologies résistantes aux aléas climatiques importants (inondations, canicules</w:t>
      </w:r>
      <w:r>
        <w:t>, etc.</w:t>
      </w:r>
      <w:r w:rsidRPr="00A0492C">
        <w:t xml:space="preserve">). </w:t>
      </w:r>
      <w:r>
        <w:t>Il est conseillé de réaliser un accompagnement par typologie de production d’énergie (éolien, solaire, biogaz, etc.) et d’évaluer les besoins futurs en ressources (eau, etc.) de ces industries afin de les adapter.</w:t>
      </w:r>
    </w:p>
    <w:p w14:paraId="706C7F83" w14:textId="77777777" w:rsidR="00B721B8" w:rsidRPr="00A0492C" w:rsidRDefault="00B721B8" w:rsidP="00055A7C">
      <w:pPr>
        <w:pStyle w:val="QBO-Puces1"/>
      </w:pPr>
      <w:r w:rsidRPr="00A0492C">
        <w:rPr>
          <w:b/>
          <w:bCs/>
        </w:rPr>
        <w:t>Pour le secteur agriculture :</w:t>
      </w:r>
      <w:r w:rsidRPr="00A0492C">
        <w:t xml:space="preserve"> Pour adapter le secteur au changement climatique, il est recommandé de planter des haies bocagères, de préserver les zones naturelles, particulièrement humides ainsi que de développer la production agricole locale pour nourrir les bêtes sans ressources importées. Il est également recommandé d’accompagner la modification des pratiques agricoles afin de permettre une meilleure préservation des sols et de la ressource en eau (réduction des intrants</w:t>
      </w:r>
      <w:r>
        <w:t>, régénération des sols</w:t>
      </w:r>
      <w:r w:rsidRPr="00A0492C">
        <w:t>) ainsi qu’un accompagnement des agriculteurs dans leur transition.</w:t>
      </w:r>
      <w:r>
        <w:t xml:space="preserve"> </w:t>
      </w:r>
      <w:r w:rsidRPr="004D4EF5">
        <w:t>Il est conseillé de réfléchir au positionnement des infrastructures de production d'ENR&amp;R en prenant en compte les aléas climatiques futurs.</w:t>
      </w:r>
      <w:r w:rsidRPr="00A0492C">
        <w:t xml:space="preserve"> Enfin, pour adapter le secteur agriculture au changement climatique, il convient de freiner fortement l’artificialisation des terres agricoles.</w:t>
      </w:r>
      <w:r>
        <w:t xml:space="preserve"> </w:t>
      </w:r>
    </w:p>
    <w:p w14:paraId="0D64C95E" w14:textId="77777777" w:rsidR="00B721B8" w:rsidRPr="00B721B8" w:rsidRDefault="00B721B8" w:rsidP="00B721B8">
      <w:pPr>
        <w:rPr>
          <w:rFonts w:asciiTheme="majorHAnsi" w:hAnsiTheme="majorHAnsi" w:cstheme="majorHAnsi"/>
          <w:b/>
          <w:bCs/>
          <w:i/>
          <w:iCs/>
          <w:color w:val="F3C345" w:themeColor="accent1"/>
          <w:sz w:val="24"/>
          <w:szCs w:val="24"/>
        </w:rPr>
      </w:pPr>
      <w:r w:rsidRPr="00B721B8">
        <w:rPr>
          <w:rFonts w:asciiTheme="majorHAnsi" w:hAnsiTheme="majorHAnsi" w:cstheme="majorHAnsi"/>
          <w:b/>
          <w:bCs/>
          <w:i/>
          <w:iCs/>
          <w:color w:val="F3C345" w:themeColor="accent1"/>
          <w:sz w:val="24"/>
          <w:szCs w:val="24"/>
        </w:rPr>
        <w:lastRenderedPageBreak/>
        <w:t>Biodiversité</w:t>
      </w:r>
    </w:p>
    <w:p w14:paraId="6E8DC987" w14:textId="77777777" w:rsidR="00B721B8" w:rsidRPr="00084894" w:rsidRDefault="00B721B8" w:rsidP="00B721B8">
      <w:pPr>
        <w:pStyle w:val="QBO-Texte"/>
        <w:rPr>
          <w:b/>
          <w:bCs/>
        </w:rPr>
      </w:pPr>
      <w:r w:rsidRPr="00084894">
        <w:rPr>
          <w:b/>
          <w:bCs/>
        </w:rPr>
        <w:t>Les recommandations :</w:t>
      </w:r>
      <w:r w:rsidRPr="00084894">
        <w:t xml:space="preserve"> Un certain nombre de recommandations sont rédigées afin de préserver et reconquérir </w:t>
      </w:r>
      <w:r w:rsidRPr="00084894">
        <w:rPr>
          <w:b/>
          <w:bCs/>
        </w:rPr>
        <w:t>la biodiversité.</w:t>
      </w:r>
    </w:p>
    <w:p w14:paraId="50792A97" w14:textId="77777777" w:rsidR="00B721B8" w:rsidRPr="00084894" w:rsidRDefault="00B721B8" w:rsidP="00055A7C">
      <w:pPr>
        <w:pStyle w:val="QBO-Puces1"/>
      </w:pPr>
      <w:r w:rsidRPr="00084894">
        <w:rPr>
          <w:b/>
          <w:bCs/>
        </w:rPr>
        <w:t>Pour</w:t>
      </w:r>
      <w:r w:rsidRPr="00084894">
        <w:t xml:space="preserve"> </w:t>
      </w:r>
      <w:r w:rsidRPr="00084894">
        <w:rPr>
          <w:b/>
          <w:bCs/>
        </w:rPr>
        <w:t>les secteurs Tertiaire et Résidentiel :</w:t>
      </w:r>
      <w:r w:rsidRPr="00084894">
        <w:t xml:space="preserve"> Il est recommandé de réduire l'étalement urbain fragmentant les écosystèmes en intégrant au sein des </w:t>
      </w:r>
      <w:r>
        <w:t>documents d’urbanisme</w:t>
      </w:r>
      <w:r w:rsidRPr="00084894">
        <w:t xml:space="preserve"> l'objectif du Zéro Artificialisation Nette (ZAN). Il est aussi recommandé d’accompagner les communes afin qu’elles n’utilisent pas systématiquement leur « garantie rurale » (la loi Climat-Résilience prévoit une garantie rurale fixée à 1</w:t>
      </w:r>
      <w:r>
        <w:t xml:space="preserve"> hectare</w:t>
      </w:r>
      <w:r w:rsidRPr="00084894">
        <w:t xml:space="preserve"> de terre pouvant être artificialisé par commune d'ici 2031) afin qu’elles réfléchissent au réel besoin de consommation du foncier. Il est également recommandé d’atténuer les impacts négatifs possibles liés à la densification (effet </w:t>
      </w:r>
      <w:r>
        <w:t>d’ilot de chaleur urbain (ICU)</w:t>
      </w:r>
      <w:r w:rsidRPr="00084894">
        <w:t>, augmentation des nuisances générées en ville,</w:t>
      </w:r>
      <w:r>
        <w:t xml:space="preserve"> augmentation de l’imperméabilisation sur les parcelles,</w:t>
      </w:r>
      <w:r w:rsidRPr="00084894">
        <w:t xml:space="preserve"> etc.) par les choix d'aménagements et de constructions (orientation des bâtiments, trame verte bleue et noire,</w:t>
      </w:r>
      <w:r>
        <w:t xml:space="preserve"> limitation des espaces imperméabilisés,</w:t>
      </w:r>
      <w:r w:rsidRPr="00084894">
        <w:t xml:space="preserve"> etc.). </w:t>
      </w:r>
      <w:r>
        <w:t>L</w:t>
      </w:r>
      <w:r w:rsidRPr="00084894">
        <w:t xml:space="preserve">’intégration d’un coefficient de biotope ambitieux au sein des </w:t>
      </w:r>
      <w:r>
        <w:t xml:space="preserve">documents d’urbanisme </w:t>
      </w:r>
      <w:r w:rsidRPr="00084894">
        <w:t>pourrait permettre de préserver une part plus importante de la biodiversité</w:t>
      </w:r>
      <w:r>
        <w:t xml:space="preserve"> au sein du tissu urbain</w:t>
      </w:r>
      <w:r w:rsidRPr="00084894">
        <w:t xml:space="preserve">. </w:t>
      </w:r>
      <w:r w:rsidRPr="004D4EF5">
        <w:t xml:space="preserve">Il est </w:t>
      </w:r>
      <w:r>
        <w:t>de plus conseillé</w:t>
      </w:r>
      <w:r w:rsidRPr="004D4EF5">
        <w:t xml:space="preserve"> de prendre en compte la biodiversité dans la démarche d'EIT (gestion des espaces verts des entreprises</w:t>
      </w:r>
      <w:r>
        <w:t xml:space="preserve">. </w:t>
      </w:r>
      <w:r w:rsidRPr="00084894">
        <w:t>Enfin, le développement de jardins partagés et de petits parcs, au sein des communes mais également des zones d’activités peut permettre de faire revenir la biodiversité dans des zones désertées par cette dernière</w:t>
      </w:r>
      <w:r>
        <w:t>.</w:t>
      </w:r>
    </w:p>
    <w:p w14:paraId="5363C815" w14:textId="77777777" w:rsidR="00B721B8" w:rsidRPr="00084894" w:rsidRDefault="00B721B8" w:rsidP="00055A7C">
      <w:pPr>
        <w:pStyle w:val="QBO-Puces1"/>
      </w:pPr>
      <w:r w:rsidRPr="00084894">
        <w:rPr>
          <w:b/>
          <w:bCs/>
        </w:rPr>
        <w:t>Pour les transports routiers et non routiers :</w:t>
      </w:r>
      <w:r w:rsidRPr="00084894">
        <w:t xml:space="preserve"> Il est recommandé de ne pas prévoir de nouvelles infrastructures routières</w:t>
      </w:r>
      <w:r>
        <w:t xml:space="preserve"> </w:t>
      </w:r>
      <w:r w:rsidRPr="00084894">
        <w:t xml:space="preserve">sur des espaces non artificialisés. Il est également recommandé de développer les nouveaux aménagements pour des modes de déplacements alternatifs (vélo, bus, aires de covoiturage, etc.) sur des surfaces déjà imperméabilisées. Les anciennes surfaces utilisées pour les transports routiers, débitumées, peuvent être converties en zones préservant la biodiversité. </w:t>
      </w:r>
      <w:r w:rsidRPr="006A343D">
        <w:t xml:space="preserve">Il est </w:t>
      </w:r>
      <w:r>
        <w:t>conseillé</w:t>
      </w:r>
      <w:r w:rsidRPr="006A343D">
        <w:t xml:space="preserve"> d'intégrer la préservation des espaces naturels et la biodiversité dans la définition de la stratégie "transports en commun" du territoire.</w:t>
      </w:r>
      <w:r>
        <w:t xml:space="preserve"> </w:t>
      </w:r>
      <w:r w:rsidRPr="00084894">
        <w:t>Enfin il est recommandé de prévoir des corridors écologiques permettant de franchir les grandes infrastructures et de limiter le passage de la biodiversité sur les infrastructures existantes tout en sensibilisant et communiquant sur les impacts des déplacements sur la biodiversité.</w:t>
      </w:r>
    </w:p>
    <w:p w14:paraId="35FFB6AE" w14:textId="77777777" w:rsidR="00B721B8" w:rsidRPr="00084894" w:rsidRDefault="00B721B8" w:rsidP="00055A7C">
      <w:pPr>
        <w:pStyle w:val="QBO-Puces1"/>
      </w:pPr>
      <w:r w:rsidRPr="00084894">
        <w:rPr>
          <w:b/>
          <w:bCs/>
        </w:rPr>
        <w:t>Pour le secteur des déchets :</w:t>
      </w:r>
      <w:r w:rsidRPr="00084894">
        <w:t xml:space="preserve"> Il est recommandé d’augmenter la part du recyclage et de limiter l’enfouissement ou l’incinération des déchets (pollution des sols ou de l’air affectant la biodiversité). Il est également conseillé de travailler à une politique d’amélioration d</w:t>
      </w:r>
      <w:r>
        <w:t>e la gestion d</w:t>
      </w:r>
      <w:r w:rsidRPr="00084894">
        <w:t xml:space="preserve">es cours d’eau (pollution chimique, microplastiques, etc.) permettant de </w:t>
      </w:r>
      <w:r>
        <w:t xml:space="preserve">réduire l’impact des pollutions sur la biodiversité de ces milieux et </w:t>
      </w:r>
      <w:r w:rsidRPr="00084894">
        <w:t xml:space="preserve">limiter l’arrivée de déchets en mer. </w:t>
      </w:r>
      <w:r w:rsidRPr="006A343D">
        <w:t>Il est conseillé de proposer un guide au sein de chaque commune pour les habitants et communes sur les impacts des déchets sur la biodiversité et les moyens de la préserver (réduction de la tonte, etc.)</w:t>
      </w:r>
      <w:r>
        <w:t xml:space="preserve">. </w:t>
      </w:r>
      <w:r w:rsidRPr="00084894">
        <w:t>Enfin, il est préconisé de lutter contre les décharges sauvages, particulièrement en zone naturelle, en lien avec la police de l’environnement.</w:t>
      </w:r>
    </w:p>
    <w:p w14:paraId="2E0FFE04" w14:textId="77777777" w:rsidR="00B721B8" w:rsidRPr="0042753C" w:rsidRDefault="00B721B8" w:rsidP="00055A7C">
      <w:pPr>
        <w:pStyle w:val="QBO-Puces1"/>
        <w:rPr>
          <w:b/>
          <w:bCs/>
        </w:rPr>
      </w:pPr>
      <w:r w:rsidRPr="0042753C">
        <w:rPr>
          <w:b/>
          <w:bCs/>
        </w:rPr>
        <w:t>Pour le secteur industrie hors branche énergie :</w:t>
      </w:r>
      <w:r w:rsidRPr="0042753C">
        <w:t xml:space="preserve"> Il conviendrait de porter des mesures de renforcement et de protection de la biodiversité sur les sites industriels (toitures végétalisées, mares, etc.). Il est de plus recommandé de désartificialiser des espaces afin d</w:t>
      </w:r>
      <w:r>
        <w:t xml:space="preserve">e laisser des </w:t>
      </w:r>
      <w:r w:rsidRPr="0042753C">
        <w:t xml:space="preserve">zones </w:t>
      </w:r>
      <w:r>
        <w:t>en</w:t>
      </w:r>
      <w:r w:rsidRPr="0042753C">
        <w:t xml:space="preserve"> libre évolution </w:t>
      </w:r>
      <w:r>
        <w:t>pour</w:t>
      </w:r>
      <w:r w:rsidRPr="0042753C">
        <w:t xml:space="preserve"> la biodiversité. Il est recommandé de limiter au maximum l’artificialisation des sols (intensification des usages, augmentation de la densité</w:t>
      </w:r>
      <w:r>
        <w:t>, surélévation des bâtiments, etc.</w:t>
      </w:r>
      <w:r w:rsidRPr="0042753C">
        <w:t>) tout en réduisant les espaces verts autour des sites industriels (qui sont des espaces artificialisés mais non bitumés, avec une faible biodiversité) pour accroitre les espaces naturels pouvant être laissés en libre évolution.</w:t>
      </w:r>
    </w:p>
    <w:p w14:paraId="369099E6" w14:textId="77777777" w:rsidR="00B721B8" w:rsidRPr="0042753C" w:rsidRDefault="00B721B8" w:rsidP="00055A7C">
      <w:pPr>
        <w:pStyle w:val="QBO-Puces1"/>
      </w:pPr>
      <w:r w:rsidRPr="0042753C">
        <w:rPr>
          <w:b/>
          <w:bCs/>
        </w:rPr>
        <w:t>Pour le secteur industrie branche énergie :</w:t>
      </w:r>
      <w:r w:rsidRPr="0042753C">
        <w:t xml:space="preserve"> Il est recommandé de privilégier l'implantation des sites de production d’énergie renouvelable sur des surfaces déjà artificialisées. De plus, il est conseillé de prévoir des mesures spécifiques à la biodiversité (arrêt des éoliennes sur certaines périodes, création de refuges, etc.). Enfin, il est recommandé de privilégier l'installation de panneaux photovoltaïques en ombrières ou toiture afin de réduire </w:t>
      </w:r>
      <w:r w:rsidRPr="0042753C">
        <w:lastRenderedPageBreak/>
        <w:t xml:space="preserve">l'artificialisation ainsi que les externalités environnementales négatives. Pour les installations </w:t>
      </w:r>
      <w:r>
        <w:t xml:space="preserve">de production </w:t>
      </w:r>
      <w:r w:rsidRPr="0042753C">
        <w:t>de biogaz, une vigilance forte est à avoir quant à leur implantation (en cas de fuite).</w:t>
      </w:r>
    </w:p>
    <w:p w14:paraId="646CDA1B" w14:textId="77777777" w:rsidR="00B721B8" w:rsidRPr="0042753C" w:rsidRDefault="00B721B8" w:rsidP="00055A7C">
      <w:pPr>
        <w:pStyle w:val="QBO-Puces1"/>
        <w:spacing w:after="240"/>
      </w:pPr>
      <w:r w:rsidRPr="0042753C">
        <w:rPr>
          <w:b/>
          <w:bCs/>
        </w:rPr>
        <w:t>Pour le secteur agriculture :</w:t>
      </w:r>
      <w:r w:rsidRPr="0042753C">
        <w:t xml:space="preserve"> Il est recommandé de privilégier les pratiques culturales permettant le développement d'une forte biodiversité (permaculture, agroforesterie, etc.). La plantation importante de haies bocagères (différentes strates, plantation d'essences favorables à la biodiversité) et leur gestion durable (pas de coupe rase, coupe hors période de nidification, etc.) ainsi que la réduction des intrants sont des recommandations permettant de préserver la biodiversité.</w:t>
      </w:r>
      <w:r>
        <w:t xml:space="preserve"> </w:t>
      </w:r>
      <w:r w:rsidRPr="006A343D">
        <w:t>Il est recommandé de fortement prioriser l'installation d'énergie solaire sur toiture afin de limiter l'emprise au sol</w:t>
      </w:r>
      <w:r>
        <w:t xml:space="preserve"> et d’installer les</w:t>
      </w:r>
      <w:r w:rsidRPr="006A343D">
        <w:t xml:space="preserve"> méthaniseurs </w:t>
      </w:r>
      <w:r>
        <w:t>afin de</w:t>
      </w:r>
      <w:r w:rsidRPr="006A343D">
        <w:t xml:space="preserve"> réduire au maximum les externalités négatives en matière de biodiversité (</w:t>
      </w:r>
      <w:r>
        <w:t xml:space="preserve">interdiction d’emplacement sur une </w:t>
      </w:r>
      <w:r w:rsidRPr="006A343D">
        <w:t>pente vers cours d'eau, ZNIEFF à proximité, etc.).</w:t>
      </w:r>
    </w:p>
    <w:p w14:paraId="3EF81793" w14:textId="77777777" w:rsidR="00B721B8" w:rsidRPr="00B721B8" w:rsidRDefault="00B721B8" w:rsidP="00B721B8">
      <w:pPr>
        <w:rPr>
          <w:rFonts w:cstheme="minorHAnsi"/>
          <w:b/>
          <w:bCs/>
          <w:i/>
          <w:iCs/>
          <w:color w:val="F3C345" w:themeColor="accent1"/>
          <w:sz w:val="24"/>
          <w:szCs w:val="24"/>
        </w:rPr>
      </w:pPr>
      <w:r w:rsidRPr="00B721B8">
        <w:rPr>
          <w:rFonts w:cstheme="minorHAnsi"/>
          <w:b/>
          <w:bCs/>
          <w:i/>
          <w:iCs/>
          <w:color w:val="F3C345" w:themeColor="accent1"/>
          <w:sz w:val="24"/>
          <w:szCs w:val="24"/>
        </w:rPr>
        <w:t>Qualité de l’air</w:t>
      </w:r>
    </w:p>
    <w:p w14:paraId="4EAD2D1B" w14:textId="77777777" w:rsidR="00B721B8" w:rsidRPr="0042753C" w:rsidRDefault="00B721B8" w:rsidP="00B721B8">
      <w:pPr>
        <w:pStyle w:val="QBO-Texte"/>
        <w:rPr>
          <w:b/>
          <w:bCs/>
        </w:rPr>
      </w:pPr>
      <w:r w:rsidRPr="0042753C">
        <w:rPr>
          <w:b/>
          <w:bCs/>
        </w:rPr>
        <w:t xml:space="preserve">Les recommandations : </w:t>
      </w:r>
      <w:r w:rsidRPr="0042753C">
        <w:t xml:space="preserve">De nombreuses recommandations sont rédigées afin de doter la </w:t>
      </w:r>
      <w:r>
        <w:t>Communauté d’agglomération</w:t>
      </w:r>
      <w:r w:rsidRPr="0042753C">
        <w:t xml:space="preserve"> de Quimper Bretagne Occidentale d’un p</w:t>
      </w:r>
      <w:r>
        <w:t>rogramme</w:t>
      </w:r>
      <w:r w:rsidRPr="0042753C">
        <w:t xml:space="preserve"> d’actions en matière de </w:t>
      </w:r>
      <w:r w:rsidRPr="0042753C">
        <w:rPr>
          <w:b/>
          <w:bCs/>
        </w:rPr>
        <w:t>qualité de l’air</w:t>
      </w:r>
      <w:r w:rsidRPr="0042753C">
        <w:t xml:space="preserve"> ambitieux.</w:t>
      </w:r>
    </w:p>
    <w:p w14:paraId="64A84251" w14:textId="77777777" w:rsidR="00B721B8" w:rsidRPr="0042753C" w:rsidRDefault="00B721B8" w:rsidP="00055A7C">
      <w:pPr>
        <w:pStyle w:val="QBO-Puces1"/>
      </w:pPr>
      <w:r w:rsidRPr="0042753C">
        <w:rPr>
          <w:b/>
          <w:bCs/>
        </w:rPr>
        <w:t>Pour</w:t>
      </w:r>
      <w:r w:rsidRPr="0042753C">
        <w:t xml:space="preserve"> </w:t>
      </w:r>
      <w:r w:rsidRPr="0042753C">
        <w:rPr>
          <w:b/>
          <w:bCs/>
        </w:rPr>
        <w:t>les secteurs Tertiaire et Résidentiel :</w:t>
      </w:r>
      <w:r w:rsidRPr="0042753C">
        <w:t xml:space="preserve"> Il est recommandé de préconiser des systèmes de chauffage au bois performants et des matériaux plus respectueux de l'environnement tels que les matériaux biosourcés pour les constructions neuves mais également pour les rénovations. Il est également recommandé que le Plan d’Amélioration de la Qualité de l’Air (PAQA) soit ambitieux et permette de réellement atteindre les objectifs de baisse des polluants atmosphériques, fixés par la loi.</w:t>
      </w:r>
      <w:r>
        <w:t xml:space="preserve"> </w:t>
      </w:r>
      <w:r w:rsidRPr="006A343D">
        <w:t>Il est préconisé de mettre en avant les impacts des énergies fossiles sur la qualité de l'air durant l</w:t>
      </w:r>
      <w:r>
        <w:t>es</w:t>
      </w:r>
      <w:r w:rsidRPr="006A343D">
        <w:t xml:space="preserve"> démarche</w:t>
      </w:r>
      <w:r>
        <w:t>s</w:t>
      </w:r>
      <w:r w:rsidRPr="006A343D">
        <w:t xml:space="preserve"> d'EIT</w:t>
      </w:r>
      <w:r>
        <w:t xml:space="preserve"> et échanges avec les entreprises du territoire,</w:t>
      </w:r>
      <w:r w:rsidRPr="006A343D">
        <w:t xml:space="preserve"> afin de promouvoir les énergies renouvelables.</w:t>
      </w:r>
      <w:r>
        <w:t xml:space="preserve"> Il est enfin conseillé de mettre en place de la sensibilisation et communication auprès des habitants mais également des acteurs économiques du territoire sur la qualité de l’air intérieur (présenter les </w:t>
      </w:r>
      <w:proofErr w:type="spellStart"/>
      <w:r>
        <w:t>co</w:t>
      </w:r>
      <w:proofErr w:type="spellEnd"/>
      <w:r>
        <w:t>-bénéfices à améliorer la qualité de l’air, les impacts du radon et autres polluants intérieurs, etc.).</w:t>
      </w:r>
    </w:p>
    <w:p w14:paraId="260511A4" w14:textId="77777777" w:rsidR="00B721B8" w:rsidRPr="0042753C" w:rsidRDefault="00B721B8" w:rsidP="00055A7C">
      <w:pPr>
        <w:pStyle w:val="QBO-Puces1"/>
      </w:pPr>
      <w:r w:rsidRPr="0042753C">
        <w:rPr>
          <w:b/>
          <w:bCs/>
        </w:rPr>
        <w:t>Pour les transports routiers et non routiers :</w:t>
      </w:r>
      <w:r w:rsidRPr="0042753C">
        <w:t xml:space="preserve"> Il est recommandé de réduire les motorisations thermique </w:t>
      </w:r>
      <w:r>
        <w:t xml:space="preserve">(transformation de la flotte de bus, etc.) </w:t>
      </w:r>
      <w:r w:rsidRPr="0042753C">
        <w:t>et d’augmenter la part des véhicules électriques sur le territoire afin de réduire l'impact du transport routier sur la qualité de l'air, et de favoriser les modes actifs (vélo, marche) ainsi que l'accès et l'usage des transports en commun. Il est aussi recommandé d’étudier la possibilité de mettre en place une ZFE-m volontaire afin d'améliorer la qualité de l'air au sein des aires urbaines.</w:t>
      </w:r>
      <w:r>
        <w:t xml:space="preserve"> </w:t>
      </w:r>
      <w:r w:rsidRPr="006A343D">
        <w:t>Il est recommandé de chiffrer l'impact en matière de qualité de l'air des mobilités actives et de cibler prioritairement les lieux à fort passage pour y installer des aménagements cyclables (pour un report modal important et donc une baisse des polluants atmosphériques).</w:t>
      </w:r>
    </w:p>
    <w:p w14:paraId="2B828FDB" w14:textId="77777777" w:rsidR="00B721B8" w:rsidRPr="0042753C" w:rsidRDefault="00B721B8" w:rsidP="00055A7C">
      <w:pPr>
        <w:pStyle w:val="QBO-Puces1"/>
      </w:pPr>
      <w:r w:rsidRPr="0042753C">
        <w:rPr>
          <w:b/>
          <w:bCs/>
        </w:rPr>
        <w:t>Pour le secteur des déchets :</w:t>
      </w:r>
      <w:r w:rsidRPr="0042753C">
        <w:t xml:space="preserve"> Il est recommandé de prendre en compte le tri des déchets à la source, avec la mise en place d’une sensibilisation (des habitants, entreprises, etc.) aux bonnes pratiques du tri. De plus il est recommandé d’avoir une vigilance forte sur les sites d'incinération et de méthanisation afin d’éviter des rejets de polluants atmosphériques.</w:t>
      </w:r>
    </w:p>
    <w:p w14:paraId="4AD57EC7" w14:textId="77777777" w:rsidR="00B721B8" w:rsidRPr="0042753C" w:rsidRDefault="00B721B8" w:rsidP="00055A7C">
      <w:pPr>
        <w:pStyle w:val="QBO-Puces1"/>
        <w:rPr>
          <w:b/>
          <w:bCs/>
        </w:rPr>
      </w:pPr>
      <w:r w:rsidRPr="0042753C">
        <w:rPr>
          <w:b/>
          <w:bCs/>
        </w:rPr>
        <w:t xml:space="preserve">Pour le secteur industrie hors branche énergie : </w:t>
      </w:r>
      <w:r w:rsidRPr="0042753C">
        <w:t xml:space="preserve">Il est recommandé de préconiser des systèmes de production de chaleur ou d'énergie peu émetteur (filtration) dans le secteur industrie. De plus il est recommandé d’échanger et </w:t>
      </w:r>
      <w:r>
        <w:t>d’</w:t>
      </w:r>
      <w:r w:rsidRPr="0042753C">
        <w:t>accompagner les industriels à la mise en place de systèmes de récupération des fumées</w:t>
      </w:r>
      <w:r>
        <w:t xml:space="preserve"> d’</w:t>
      </w:r>
      <w:r w:rsidRPr="0042753C">
        <w:t>usine.</w:t>
      </w:r>
    </w:p>
    <w:p w14:paraId="7B6D774C" w14:textId="77777777" w:rsidR="00B721B8" w:rsidRPr="0042753C" w:rsidRDefault="00B721B8" w:rsidP="00055A7C">
      <w:pPr>
        <w:pStyle w:val="QBO-Puces1"/>
      </w:pPr>
      <w:r w:rsidRPr="0042753C">
        <w:rPr>
          <w:b/>
          <w:bCs/>
        </w:rPr>
        <w:t>Pour le secteur industrie branche énergie :</w:t>
      </w:r>
      <w:r w:rsidRPr="0042753C">
        <w:t xml:space="preserve"> Il est recommandé de prendre en compte la problématique de qualité de l'air liée à la combustion du bois, en recourant à des installations performantes (flamme verte 7 étoiles).</w:t>
      </w:r>
    </w:p>
    <w:p w14:paraId="3186AB1A" w14:textId="77777777" w:rsidR="00B721B8" w:rsidRDefault="00B721B8" w:rsidP="00055A7C">
      <w:pPr>
        <w:pStyle w:val="QBO-Puces1"/>
        <w:spacing w:after="240"/>
      </w:pPr>
      <w:r w:rsidRPr="0042753C">
        <w:rPr>
          <w:b/>
          <w:bCs/>
        </w:rPr>
        <w:t>Pour le secteur agriculture :</w:t>
      </w:r>
      <w:r w:rsidRPr="0042753C">
        <w:t xml:space="preserve"> Il est recommandé de sensibiliser les agriculteurs aux enjeux de qualité de l'air et santé humaine ainsi que de les accompagner dans la transformation de leurs </w:t>
      </w:r>
      <w:r w:rsidRPr="0042753C">
        <w:lastRenderedPageBreak/>
        <w:t>pratiques (</w:t>
      </w:r>
      <w:r>
        <w:t xml:space="preserve">gestion des effluents, </w:t>
      </w:r>
      <w:r w:rsidRPr="0042753C">
        <w:t>réduction de l’élevage intensif, fortement émetteurs de polluants) et leurs équipements (tracteurs, etc.).</w:t>
      </w:r>
    </w:p>
    <w:p w14:paraId="165ECE1A" w14:textId="77777777" w:rsidR="00B721B8" w:rsidRPr="00B721B8" w:rsidRDefault="00B721B8" w:rsidP="00B721B8">
      <w:pPr>
        <w:rPr>
          <w:rFonts w:cstheme="minorHAnsi"/>
          <w:b/>
          <w:bCs/>
          <w:i/>
          <w:iCs/>
          <w:color w:val="F3C345" w:themeColor="accent1"/>
          <w:sz w:val="24"/>
          <w:szCs w:val="24"/>
        </w:rPr>
      </w:pPr>
      <w:r w:rsidRPr="00B721B8">
        <w:rPr>
          <w:rFonts w:cstheme="minorHAnsi"/>
          <w:b/>
          <w:bCs/>
          <w:i/>
          <w:iCs/>
          <w:color w:val="F3C345" w:themeColor="accent1"/>
          <w:sz w:val="24"/>
          <w:szCs w:val="24"/>
        </w:rPr>
        <w:t>Agriculture</w:t>
      </w:r>
    </w:p>
    <w:p w14:paraId="4E158420" w14:textId="77777777" w:rsidR="00B721B8" w:rsidRPr="0080764B" w:rsidRDefault="00B721B8" w:rsidP="00B721B8">
      <w:pPr>
        <w:pStyle w:val="QBO-Texte"/>
        <w:rPr>
          <w:b/>
          <w:bCs/>
        </w:rPr>
      </w:pPr>
      <w:r w:rsidRPr="0080764B">
        <w:rPr>
          <w:b/>
          <w:bCs/>
        </w:rPr>
        <w:t xml:space="preserve">Les recommandations : </w:t>
      </w:r>
      <w:r w:rsidRPr="0080764B">
        <w:t>Un certain nombre de</w:t>
      </w:r>
      <w:r w:rsidRPr="0080764B">
        <w:rPr>
          <w:b/>
          <w:bCs/>
        </w:rPr>
        <w:t xml:space="preserve"> recommandations</w:t>
      </w:r>
      <w:r w:rsidRPr="0080764B">
        <w:t xml:space="preserve"> sont formulées afin de répondre aux enjeux associés à </w:t>
      </w:r>
      <w:r w:rsidRPr="0080764B">
        <w:rPr>
          <w:b/>
          <w:bCs/>
        </w:rPr>
        <w:t>l’Agriculture</w:t>
      </w:r>
      <w:r w:rsidRPr="0080764B">
        <w:t> : maintenir des pratiques agricoles respectueuses des milieux, développer des circuits de valorisation locale, contribuer à maintenir des paysages agricoles, etc.</w:t>
      </w:r>
    </w:p>
    <w:p w14:paraId="2A7AA0CF" w14:textId="77777777" w:rsidR="00B721B8" w:rsidRPr="0080764B" w:rsidRDefault="00B721B8" w:rsidP="00055A7C">
      <w:pPr>
        <w:pStyle w:val="QBO-Puces1"/>
      </w:pPr>
      <w:r w:rsidRPr="0080764B">
        <w:rPr>
          <w:b/>
          <w:bCs/>
        </w:rPr>
        <w:t>Pour</w:t>
      </w:r>
      <w:r w:rsidRPr="0080764B">
        <w:t xml:space="preserve"> </w:t>
      </w:r>
      <w:r w:rsidRPr="0080764B">
        <w:rPr>
          <w:b/>
          <w:bCs/>
        </w:rPr>
        <w:t>les secteurs Tertiaire et Résidentiel :</w:t>
      </w:r>
      <w:r w:rsidRPr="0080764B">
        <w:t xml:space="preserve"> Il est recommandé de limiter les constructions neuves en extension sur les zones agricoles et d’envisager l'agriculture urbaine biologique, y compris sur les grandes surfaces de toitures (immeubles collectifs).</w:t>
      </w:r>
      <w:r>
        <w:t xml:space="preserve"> </w:t>
      </w:r>
      <w:r w:rsidRPr="0043495E">
        <w:t xml:space="preserve">Il est recommandé </w:t>
      </w:r>
      <w:r>
        <w:t xml:space="preserve">de davantage </w:t>
      </w:r>
      <w:r w:rsidRPr="0043495E">
        <w:t>intégrer les agriculteurs au sein des</w:t>
      </w:r>
      <w:r>
        <w:t xml:space="preserve"> discussions de territoire et avec les acteurs économiques afin</w:t>
      </w:r>
      <w:r w:rsidRPr="0043495E">
        <w:t xml:space="preserve"> de développer l'économie circulaire sur le territoire</w:t>
      </w:r>
      <w:r>
        <w:t xml:space="preserve"> (exemple : l</w:t>
      </w:r>
      <w:r w:rsidRPr="0043495E">
        <w:t>e recyclage de la biomasse peut également être réalisé au plus proch</w:t>
      </w:r>
      <w:r>
        <w:t>e des exploitations).</w:t>
      </w:r>
    </w:p>
    <w:p w14:paraId="3D77EF3B" w14:textId="77777777" w:rsidR="00B721B8" w:rsidRPr="0080764B" w:rsidRDefault="00B721B8" w:rsidP="00055A7C">
      <w:pPr>
        <w:pStyle w:val="QBO-Puces1"/>
      </w:pPr>
      <w:r w:rsidRPr="0080764B">
        <w:rPr>
          <w:b/>
          <w:bCs/>
        </w:rPr>
        <w:t>Pour les transports routiers et non routiers :</w:t>
      </w:r>
      <w:r w:rsidRPr="0080764B">
        <w:t xml:space="preserve"> Il est recommandé de réduire au maximum l'emprise des nouvelles infrastructures mais également d’avoir une vigilance sur l'impact des créations d'infrastructures cyclables sur le foncier agricole. Il est recommandé, en lien avec l’objectif ZAN, de désartificialiser certains espaces en milieu urbain (parkings, voie double passant en sens unique) afin de libérer du foncier pour développer de l'agriculture urbaine. Il est conseillé de développer des regroupements d’agriculteurs afin de mutualiser certains déplacements. </w:t>
      </w:r>
      <w:r w:rsidRPr="0043495E">
        <w:t xml:space="preserve">Il est </w:t>
      </w:r>
      <w:r>
        <w:t xml:space="preserve">également </w:t>
      </w:r>
      <w:r w:rsidRPr="0043495E">
        <w:t>recommandé de quantifier les besoins en biogaz pour la mobilité et d'intégrer au sein des documents d'urbanisme (PLU) une quantité maximale des SAU pour de la production énergétique.</w:t>
      </w:r>
    </w:p>
    <w:p w14:paraId="3D216F98" w14:textId="77777777" w:rsidR="00B721B8" w:rsidRPr="0080764B" w:rsidRDefault="00B721B8" w:rsidP="00055A7C">
      <w:pPr>
        <w:pStyle w:val="QBO-Puces1"/>
      </w:pPr>
      <w:r w:rsidRPr="0080764B">
        <w:rPr>
          <w:b/>
          <w:bCs/>
        </w:rPr>
        <w:t>Pour le secteur des déchets :</w:t>
      </w:r>
      <w:r w:rsidRPr="0080764B">
        <w:t xml:space="preserve"> Il est recommandé d’avoir une vigilance forte pour les sites de production de méthane des exploitations agricoles, en formant également des agriculteurs concernant la pollution engendrée par des fuites de méthaniseurs.</w:t>
      </w:r>
    </w:p>
    <w:p w14:paraId="46C2E6CC" w14:textId="77777777" w:rsidR="00B721B8" w:rsidRPr="0080764B" w:rsidRDefault="00B721B8" w:rsidP="00055A7C">
      <w:pPr>
        <w:pStyle w:val="QBO-Puces1"/>
      </w:pPr>
      <w:r w:rsidRPr="0080764B">
        <w:rPr>
          <w:b/>
          <w:bCs/>
        </w:rPr>
        <w:t xml:space="preserve">Pour le secteur industrie hors branche énergie : </w:t>
      </w:r>
      <w:r w:rsidRPr="0080764B">
        <w:t>Il est recommandé de favoriser les aménagements les moins impactant possibles sur le paysage et la biodiversité (réduction de l'imperméabilisation des sols, etc.) par la biais d'un accompagnement des industriels et de favoriser les synergies pour réduire l'emprise foncière des zones économiques (parkings communs, restaurant d'entreprises partagé, zones de stockage modulable commune, etc.). Il est également recommandé de construire en priorité sur les friches existantes et de densifier. Il est conseillé de mener un travail sur l’intégration de l’agriculture dans le secteur agro-alimentaire avec un juste prix fourni aux agriculteurs et les mutations du secteur à venir (changement climatique, formation, etc.).</w:t>
      </w:r>
    </w:p>
    <w:p w14:paraId="3E1CEC03" w14:textId="77777777" w:rsidR="00B721B8" w:rsidRPr="0080764B" w:rsidRDefault="00B721B8" w:rsidP="00055A7C">
      <w:pPr>
        <w:pStyle w:val="QBO-Puces1"/>
      </w:pPr>
      <w:r w:rsidRPr="0080764B">
        <w:rPr>
          <w:b/>
          <w:bCs/>
        </w:rPr>
        <w:t>Pour le secteur industrie branche énergie :</w:t>
      </w:r>
      <w:r w:rsidRPr="0080764B">
        <w:t xml:space="preserve"> Il est recommandé de favoriser l'installation de systèmes de production d'énergies renouvelables en lien avec le secteur agricole (particulièrement solaire et biogaz), et de réaliser en amont des études d'impacts. Il est également recommandé d’évaluer la possibilité de raccorder les exploitations agricoles les plus proches des sites industriels producteurs de chaleur afin de récupérer cette dernière par les exploitations agricoles avec des besoins de chaleur importants.</w:t>
      </w:r>
    </w:p>
    <w:p w14:paraId="76970900" w14:textId="77777777" w:rsidR="00B721B8" w:rsidRPr="0080764B" w:rsidRDefault="00B721B8" w:rsidP="00055A7C">
      <w:pPr>
        <w:pStyle w:val="QBO-Puces1"/>
        <w:spacing w:after="240"/>
        <w:rPr>
          <w:rFonts w:asciiTheme="majorHAnsi" w:hAnsiTheme="majorHAnsi" w:cstheme="majorHAnsi"/>
        </w:rPr>
      </w:pPr>
      <w:r w:rsidRPr="0080764B">
        <w:rPr>
          <w:b/>
          <w:bCs/>
        </w:rPr>
        <w:t>Pour le secteur agriculture :</w:t>
      </w:r>
      <w:r w:rsidRPr="0080764B">
        <w:t xml:space="preserve"> Il est recommandé de faire évoluer le secteur agricole en incitant à réduire des intrants afin de réduire l'impact sur les milieux naturels ainsi qu’en accompagnant les nouvelles pratiques agricoles favorisant la biodiversité et le stockage de carbone. Il est également conseillé de fortement communiquer et promouvoir l’arrivée de nouveaux agriculteurs avec la volonté d’avoir une diversité d’exploitations agricoles importante.</w:t>
      </w:r>
    </w:p>
    <w:p w14:paraId="1B414402" w14:textId="77777777" w:rsidR="00B721B8" w:rsidRPr="00B721B8" w:rsidRDefault="00B721B8" w:rsidP="00B721B8">
      <w:pPr>
        <w:rPr>
          <w:rFonts w:cstheme="minorHAnsi"/>
          <w:b/>
          <w:bCs/>
          <w:i/>
          <w:iCs/>
          <w:color w:val="F3C345" w:themeColor="accent1"/>
          <w:sz w:val="24"/>
          <w:szCs w:val="24"/>
        </w:rPr>
      </w:pPr>
      <w:r w:rsidRPr="00B721B8">
        <w:rPr>
          <w:rFonts w:cstheme="minorHAnsi"/>
          <w:b/>
          <w:bCs/>
          <w:i/>
          <w:iCs/>
          <w:color w:val="F3C345" w:themeColor="accent1"/>
          <w:sz w:val="24"/>
          <w:szCs w:val="24"/>
        </w:rPr>
        <w:t>Mobilités et infrastructures de transport</w:t>
      </w:r>
    </w:p>
    <w:p w14:paraId="31DAAFB5" w14:textId="77777777" w:rsidR="00B721B8" w:rsidRPr="0080764B" w:rsidRDefault="00B721B8" w:rsidP="00B721B8">
      <w:pPr>
        <w:pStyle w:val="QBO-Texte"/>
        <w:rPr>
          <w:b/>
          <w:bCs/>
        </w:rPr>
      </w:pPr>
      <w:r w:rsidRPr="0080764B">
        <w:rPr>
          <w:b/>
          <w:bCs/>
        </w:rPr>
        <w:t>Les recommandations :</w:t>
      </w:r>
      <w:r w:rsidRPr="0080764B">
        <w:t xml:space="preserve"> Un certain nombre d’enjeux entoure les </w:t>
      </w:r>
      <w:r w:rsidRPr="0080764B">
        <w:rPr>
          <w:b/>
          <w:bCs/>
        </w:rPr>
        <w:t>mobilités et les infrastructures de transport</w:t>
      </w:r>
      <w:r w:rsidRPr="0080764B">
        <w:t xml:space="preserve"> sur le territoire de Quimper Bretagne Occidentale : report modal vers des modes alternatifs à la voiture individuelle, limiter les déplacements</w:t>
      </w:r>
      <w:r>
        <w:t xml:space="preserve"> et </w:t>
      </w:r>
      <w:r w:rsidRPr="0080764B">
        <w:t>les nuisances</w:t>
      </w:r>
      <w:r>
        <w:t xml:space="preserve"> associées</w:t>
      </w:r>
      <w:r w:rsidRPr="0080764B">
        <w:t xml:space="preserve">, </w:t>
      </w:r>
      <w:r>
        <w:t>développer des infrastructures pour la mobilité active, etc.</w:t>
      </w:r>
      <w:r w:rsidRPr="0080764B">
        <w:t xml:space="preserve"> Des recommandations sont formulées dans ce sens.</w:t>
      </w:r>
    </w:p>
    <w:p w14:paraId="2D938853" w14:textId="77777777" w:rsidR="00B721B8" w:rsidRPr="0080764B" w:rsidRDefault="00B721B8" w:rsidP="00055A7C">
      <w:pPr>
        <w:pStyle w:val="QBO-Puces1"/>
      </w:pPr>
      <w:r w:rsidRPr="0080764B">
        <w:rPr>
          <w:b/>
          <w:bCs/>
        </w:rPr>
        <w:lastRenderedPageBreak/>
        <w:t>Pour</w:t>
      </w:r>
      <w:r w:rsidRPr="0080764B">
        <w:t xml:space="preserve"> </w:t>
      </w:r>
      <w:r w:rsidRPr="0080764B">
        <w:rPr>
          <w:b/>
          <w:bCs/>
        </w:rPr>
        <w:t>les secteurs Tertiaire et Résidentiel :</w:t>
      </w:r>
      <w:r w:rsidRPr="0080764B">
        <w:t xml:space="preserve"> Il est recommandé d’intégrer pour les futurs aménagements, la prise en compte de l'offre de transports afin de favoriser l'usage des transports en commun et des modes actifs des habitants du territoire, mais également des territoires limitrophes. Les constructions neuves devraient également prendre en compte le besoin en stationnement protégé pour les vélos ainsi que réfléchir aux besoins futurs des nouvelles mobilités actives (vélo-cargo, etc.) </w:t>
      </w:r>
      <w:r>
        <w:t>Il</w:t>
      </w:r>
      <w:r w:rsidRPr="0080764B">
        <w:t xml:space="preserve"> est</w:t>
      </w:r>
      <w:r>
        <w:t xml:space="preserve"> également</w:t>
      </w:r>
      <w:r w:rsidRPr="0080764B">
        <w:t xml:space="preserve"> recommandé d’envisager la réduction de l'espace pour la voiture (voie sens unique en lotissement, </w:t>
      </w:r>
      <w:r>
        <w:t xml:space="preserve">réduction du stationnement, </w:t>
      </w:r>
      <w:r w:rsidRPr="0080764B">
        <w:t>etc.) au sein des documents d’urbanisme</w:t>
      </w:r>
      <w:r>
        <w:t xml:space="preserve"> et de favoriser la mise en place des parkings à étages pour réduire les besoins en surface au sol tout en mutualisant des parkings entre entreprises et zones résidentielles. Enfin il est conseillé de développer les transports en commun dans les zones tertiaires et d’habitation les plus dynamiques, en prenant en compte les évolutions futures (nouveaux quartiers, densification pour réduire l’étalement urbain, favoriser la mixité fonctionnelle au sein des documents d’urbanismes pour rapprocher les lieux d’emploi, de services et d’habitation, etc.). </w:t>
      </w:r>
    </w:p>
    <w:p w14:paraId="0FE19C44" w14:textId="77777777" w:rsidR="00B721B8" w:rsidRPr="0006774B" w:rsidRDefault="00B721B8" w:rsidP="00055A7C">
      <w:pPr>
        <w:pStyle w:val="QBO-Puces1"/>
      </w:pPr>
      <w:r w:rsidRPr="0006774B">
        <w:rPr>
          <w:b/>
          <w:bCs/>
        </w:rPr>
        <w:t>Pour les transports routiers et non routiers :</w:t>
      </w:r>
      <w:r w:rsidRPr="0006774B">
        <w:t xml:space="preserve"> Un certain nombre de recommandations sont faites pour ces secteurs : </w:t>
      </w:r>
    </w:p>
    <w:p w14:paraId="5D349473" w14:textId="77777777" w:rsidR="00B721B8" w:rsidRPr="0006774B" w:rsidRDefault="00B721B8" w:rsidP="00055A7C">
      <w:pPr>
        <w:pStyle w:val="QBO-Puces1"/>
        <w:numPr>
          <w:ilvl w:val="1"/>
          <w:numId w:val="44"/>
        </w:numPr>
      </w:pPr>
      <w:r w:rsidRPr="0006774B">
        <w:t>Prise en compte de l’évolution des motorisations, engendrant des modifications de besoins ;</w:t>
      </w:r>
    </w:p>
    <w:p w14:paraId="452FDF03" w14:textId="77777777" w:rsidR="00B721B8" w:rsidRPr="0006774B" w:rsidRDefault="00B721B8" w:rsidP="00055A7C">
      <w:pPr>
        <w:pStyle w:val="QBO-Puces1"/>
        <w:numPr>
          <w:ilvl w:val="1"/>
          <w:numId w:val="44"/>
        </w:numPr>
      </w:pPr>
      <w:r>
        <w:t xml:space="preserve">Installer </w:t>
      </w:r>
      <w:r w:rsidRPr="0006774B">
        <w:t>de nouvelles bornes de recharge électriques ;</w:t>
      </w:r>
    </w:p>
    <w:p w14:paraId="588B4AC2" w14:textId="77777777" w:rsidR="00B721B8" w:rsidRPr="0006774B" w:rsidRDefault="00B721B8" w:rsidP="00055A7C">
      <w:pPr>
        <w:pStyle w:val="QBO-Puces1"/>
        <w:numPr>
          <w:ilvl w:val="1"/>
          <w:numId w:val="44"/>
        </w:numPr>
      </w:pPr>
      <w:r>
        <w:t>Développer</w:t>
      </w:r>
      <w:r w:rsidRPr="0006774B">
        <w:t xml:space="preserve"> des infrastructures pour la mobilité active ;</w:t>
      </w:r>
    </w:p>
    <w:p w14:paraId="72BFD80E" w14:textId="5F2D234A" w:rsidR="00B721B8" w:rsidRPr="0006774B" w:rsidRDefault="00B721B8" w:rsidP="00055A7C">
      <w:pPr>
        <w:pStyle w:val="QBO-Puces1"/>
        <w:numPr>
          <w:ilvl w:val="1"/>
          <w:numId w:val="44"/>
        </w:numPr>
      </w:pPr>
      <w:r w:rsidRPr="0006774B">
        <w:t>Déterminer des objectifs de parts modales (</w:t>
      </w:r>
      <w:r w:rsidR="00055A7C">
        <w:t>transports en commun</w:t>
      </w:r>
      <w:r w:rsidRPr="0006774B">
        <w:t>, voiture</w:t>
      </w:r>
      <w:r w:rsidR="00055A7C">
        <w:t xml:space="preserve">, </w:t>
      </w:r>
      <w:r w:rsidRPr="0006774B">
        <w:t>vélo, marche, etc.) ;</w:t>
      </w:r>
    </w:p>
    <w:p w14:paraId="44D07A49" w14:textId="77777777" w:rsidR="00B721B8" w:rsidRPr="0006774B" w:rsidRDefault="00B721B8" w:rsidP="00055A7C">
      <w:pPr>
        <w:pStyle w:val="QBO-Puces1"/>
        <w:numPr>
          <w:ilvl w:val="1"/>
          <w:numId w:val="44"/>
        </w:numPr>
      </w:pPr>
      <w:r w:rsidRPr="0006774B">
        <w:t>Favoriser le développement du télétravail, du coworking, des tiers-lieux pour limiter les déplacements ;</w:t>
      </w:r>
    </w:p>
    <w:p w14:paraId="0CF01D43" w14:textId="77777777" w:rsidR="00B721B8" w:rsidRPr="0006774B" w:rsidRDefault="00B721B8" w:rsidP="00055A7C">
      <w:pPr>
        <w:pStyle w:val="QBO-Puces1"/>
        <w:numPr>
          <w:ilvl w:val="1"/>
          <w:numId w:val="44"/>
        </w:numPr>
      </w:pPr>
      <w:r w:rsidRPr="0006774B">
        <w:t>Fixer des objectifs chiffrés de nouvelles lignes ou de populations desservies par les transports en commun ;</w:t>
      </w:r>
    </w:p>
    <w:p w14:paraId="729F458A" w14:textId="77777777" w:rsidR="00B721B8" w:rsidRDefault="00B721B8" w:rsidP="00055A7C">
      <w:pPr>
        <w:pStyle w:val="QBO-Puces1"/>
        <w:numPr>
          <w:ilvl w:val="1"/>
          <w:numId w:val="44"/>
        </w:numPr>
      </w:pPr>
      <w:r w:rsidRPr="0006774B">
        <w:t>Réaliser des aménagements spécifiques aux transports non routiers, afin de favoriser leur usage (plateforme multimodale, connexion rapide depuis les zones d'habitats) ;</w:t>
      </w:r>
    </w:p>
    <w:p w14:paraId="633BB3CB" w14:textId="77777777" w:rsidR="00B721B8" w:rsidRPr="0006774B" w:rsidRDefault="00B721B8" w:rsidP="00055A7C">
      <w:pPr>
        <w:pStyle w:val="QBO-Puces1"/>
        <w:numPr>
          <w:ilvl w:val="1"/>
          <w:numId w:val="44"/>
        </w:numPr>
      </w:pPr>
      <w:r>
        <w:t>Les conseils de développement du Finistère et de Lorient ont réalisé une liste de recommandations à mettre en place afin de rendre la ligne de train Brest-Quimper plus efficace et attractive, il serait pertinent de prendre en compte ces recommandations.</w:t>
      </w:r>
    </w:p>
    <w:p w14:paraId="046D6BE9" w14:textId="77777777" w:rsidR="00B721B8" w:rsidRPr="0006774B" w:rsidRDefault="00B721B8" w:rsidP="00055A7C">
      <w:pPr>
        <w:pStyle w:val="QBO-Puces1"/>
      </w:pPr>
      <w:r w:rsidRPr="0006774B">
        <w:rPr>
          <w:b/>
          <w:bCs/>
        </w:rPr>
        <w:t>Pour le secteur des déchets :</w:t>
      </w:r>
      <w:r w:rsidRPr="0006774B">
        <w:t xml:space="preserve"> Il est recommandé d’évaluer la baisse estimée et réelle des tonnages afin de pouvoir réduire le nombre de collecte ainsi que de favoriser une collecte des biodéchets en mobilité douce (vélos cargos) et la mise en place de composteurs collectifs. Il est également conseillé de développer l’utilisation du fret </w:t>
      </w:r>
      <w:r>
        <w:t>fluvial</w:t>
      </w:r>
      <w:r w:rsidRPr="0006774B">
        <w:t xml:space="preserve"> et du fret </w:t>
      </w:r>
      <w:r>
        <w:t>à vélo</w:t>
      </w:r>
      <w:r w:rsidRPr="0006774B">
        <w:t xml:space="preserve"> pour les livraisons des derniers kilomètres (plateforme de fret mutualisée</w:t>
      </w:r>
      <w:r>
        <w:t>, rénovation du port</w:t>
      </w:r>
      <w:r w:rsidRPr="0006774B">
        <w:t>).</w:t>
      </w:r>
    </w:p>
    <w:p w14:paraId="74D1721A" w14:textId="77777777" w:rsidR="00B721B8" w:rsidRPr="0006774B" w:rsidRDefault="00B721B8" w:rsidP="00055A7C">
      <w:pPr>
        <w:pStyle w:val="QBO-Puces1"/>
        <w:rPr>
          <w:b/>
          <w:bCs/>
        </w:rPr>
      </w:pPr>
      <w:r w:rsidRPr="0006774B">
        <w:rPr>
          <w:b/>
          <w:bCs/>
        </w:rPr>
        <w:t xml:space="preserve">Pour le secteur industrie hors branche énergie : </w:t>
      </w:r>
      <w:r w:rsidRPr="0006774B">
        <w:t xml:space="preserve">Il est recommandé d'adapter les offres de transport en commun aux aménagements, tel que dans les zones industrielles et de favoriser le télétravail ou les tiers-lieux proches des </w:t>
      </w:r>
      <w:r>
        <w:t>zones d’habitation</w:t>
      </w:r>
      <w:r w:rsidRPr="0006774B">
        <w:t xml:space="preserve"> pour réduire le transport. Il est également recommandé de construire les infrastructures de mobilité sur les zones déjà artificialisées.</w:t>
      </w:r>
    </w:p>
    <w:p w14:paraId="221352F2" w14:textId="77777777" w:rsidR="00B721B8" w:rsidRPr="0006774B" w:rsidRDefault="00B721B8" w:rsidP="00055A7C">
      <w:pPr>
        <w:pStyle w:val="QBO-Puces1"/>
      </w:pPr>
      <w:r w:rsidRPr="0006774B">
        <w:rPr>
          <w:b/>
          <w:bCs/>
        </w:rPr>
        <w:t>Pour le secteur industrie branche énergie :</w:t>
      </w:r>
      <w:r w:rsidRPr="0006774B">
        <w:t xml:space="preserve"> Il est recommandé de favoriser les réseaux énergétiques existants, et si nécessité de nouveaux réseaux, réfléchir à réaliser ces travaux en lien avec des travaux sur les infrastructures de transport afin de ne pas avoir besoin de faire plusieurs fois des travaux d'infrastructures.</w:t>
      </w:r>
    </w:p>
    <w:p w14:paraId="5A61DF5C" w14:textId="77777777" w:rsidR="00B721B8" w:rsidRPr="0006774B" w:rsidRDefault="00B721B8" w:rsidP="00055A7C">
      <w:pPr>
        <w:pStyle w:val="QBO-Puces1"/>
        <w:rPr>
          <w:rFonts w:asciiTheme="majorHAnsi" w:hAnsiTheme="majorHAnsi" w:cstheme="majorHAnsi"/>
        </w:rPr>
      </w:pPr>
      <w:r w:rsidRPr="0006774B">
        <w:rPr>
          <w:b/>
          <w:bCs/>
        </w:rPr>
        <w:t>Pour le secteur agriculture :</w:t>
      </w:r>
      <w:r w:rsidRPr="0006774B">
        <w:t xml:space="preserve"> Il est recommandé de faire muter les motorisations des engins agricoles et de favoriser les circuits courts (faible transport). Il est également recommandé de développer la mutualisation de livraisons et de récupération de denrées dans des fermes proches géographiquement</w:t>
      </w:r>
      <w:r>
        <w:t xml:space="preserve">, ainsi que de </w:t>
      </w:r>
      <w:r w:rsidRPr="0043495E">
        <w:t>contractualiser à plusieurs agriculteurs pour qu</w:t>
      </w:r>
      <w:r>
        <w:t>’un prestataire</w:t>
      </w:r>
      <w:r w:rsidRPr="0043495E">
        <w:t xml:space="preserve"> vienne réaliser en une fois l'entretien</w:t>
      </w:r>
      <w:r>
        <w:t xml:space="preserve"> de plusieurs équipements</w:t>
      </w:r>
      <w:r w:rsidRPr="0043495E">
        <w:t>.</w:t>
      </w:r>
    </w:p>
    <w:p w14:paraId="0C64C15C" w14:textId="77777777" w:rsidR="00B721B8" w:rsidRDefault="00B721B8">
      <w:pPr>
        <w:spacing w:after="200" w:line="276" w:lineRule="auto"/>
        <w:jc w:val="left"/>
        <w:rPr>
          <w:rFonts w:cstheme="minorHAnsi"/>
          <w:b/>
          <w:bCs/>
          <w:i/>
          <w:iCs/>
          <w:color w:val="F3C345" w:themeColor="accent1"/>
          <w:sz w:val="24"/>
          <w:szCs w:val="24"/>
        </w:rPr>
      </w:pPr>
      <w:r>
        <w:rPr>
          <w:rFonts w:cstheme="minorHAnsi"/>
          <w:b/>
          <w:bCs/>
          <w:i/>
          <w:iCs/>
          <w:color w:val="F3C345" w:themeColor="accent1"/>
          <w:sz w:val="24"/>
          <w:szCs w:val="24"/>
        </w:rPr>
        <w:br w:type="page"/>
      </w:r>
    </w:p>
    <w:p w14:paraId="77C2B744" w14:textId="028D939E" w:rsidR="00B721B8" w:rsidRPr="00B721B8" w:rsidRDefault="00B721B8" w:rsidP="00B721B8">
      <w:pPr>
        <w:rPr>
          <w:rFonts w:cstheme="minorHAnsi"/>
          <w:b/>
          <w:bCs/>
          <w:i/>
          <w:iCs/>
          <w:color w:val="F3C345" w:themeColor="accent1"/>
          <w:sz w:val="24"/>
          <w:szCs w:val="24"/>
        </w:rPr>
      </w:pPr>
      <w:r w:rsidRPr="00B721B8">
        <w:rPr>
          <w:rFonts w:cstheme="minorHAnsi"/>
          <w:b/>
          <w:bCs/>
          <w:i/>
          <w:iCs/>
          <w:color w:val="F3C345" w:themeColor="accent1"/>
          <w:sz w:val="24"/>
          <w:szCs w:val="24"/>
        </w:rPr>
        <w:lastRenderedPageBreak/>
        <w:t>Activités industrielles et tertiaires</w:t>
      </w:r>
    </w:p>
    <w:p w14:paraId="03FDACA9" w14:textId="77777777" w:rsidR="00B721B8" w:rsidRPr="00680395" w:rsidRDefault="00B721B8" w:rsidP="00B721B8">
      <w:pPr>
        <w:pStyle w:val="QBO-Texte"/>
      </w:pPr>
      <w:r w:rsidRPr="00680395">
        <w:rPr>
          <w:b/>
          <w:bCs/>
        </w:rPr>
        <w:t>Les recommandations </w:t>
      </w:r>
      <w:r w:rsidRPr="00680395">
        <w:t xml:space="preserve">: Les enjeux associés autour des </w:t>
      </w:r>
      <w:r w:rsidRPr="00680395">
        <w:rPr>
          <w:b/>
          <w:bCs/>
        </w:rPr>
        <w:t>activités industrielles et tertiaires</w:t>
      </w:r>
      <w:r w:rsidRPr="00680395">
        <w:t xml:space="preserve"> sont multiples : sobriété énergétique et de surface, mutualisation d’espaces permettant de limiter l’artificialisation des sols, autoconsommation des bâtiments, etc. Les recommandations ci-dessous permettent d’aider à répondre à certains enjeux.</w:t>
      </w:r>
    </w:p>
    <w:p w14:paraId="35D573BC" w14:textId="77777777" w:rsidR="00B721B8" w:rsidRPr="00680395" w:rsidRDefault="00B721B8" w:rsidP="00055A7C">
      <w:pPr>
        <w:pStyle w:val="QBO-Puces1"/>
        <w:rPr>
          <w:b/>
          <w:bCs/>
        </w:rPr>
      </w:pPr>
      <w:r w:rsidRPr="00680395">
        <w:rPr>
          <w:b/>
          <w:bCs/>
        </w:rPr>
        <w:t>Pour</w:t>
      </w:r>
      <w:r w:rsidRPr="00680395">
        <w:t xml:space="preserve"> </w:t>
      </w:r>
      <w:r w:rsidRPr="00680395">
        <w:rPr>
          <w:b/>
          <w:bCs/>
        </w:rPr>
        <w:t>le secteur Résidentiel :</w:t>
      </w:r>
      <w:r w:rsidRPr="00680395">
        <w:t xml:space="preserve"> Il est recommandé de rapprocher l'habitat des activités industrielles et tertiaires (gain de temps, économies d’énergies) ainsi que de développer de l'habitat modulaire afin de permettre de concilier logement et activité tertiaire ou industrielle (pour les petites sociétés, entrepreneurs, etc.). La rénovation de logements vacants non habitables est également une solution afin d'y installer des activités industrielles et tertiaires. Il est également conseillé de rénover des bâtiments et de sanctuariser les rez-de-chaussée pour des commerces et services de proximité, particulièrement dans les zones urbaines denses.</w:t>
      </w:r>
    </w:p>
    <w:p w14:paraId="58C5D0CE" w14:textId="77777777" w:rsidR="00B721B8" w:rsidRDefault="00B721B8" w:rsidP="00055A7C">
      <w:pPr>
        <w:pStyle w:val="QBO-Puces1"/>
      </w:pPr>
      <w:r w:rsidRPr="00680395">
        <w:rPr>
          <w:b/>
          <w:bCs/>
        </w:rPr>
        <w:t>Pour</w:t>
      </w:r>
      <w:r w:rsidRPr="00680395">
        <w:t xml:space="preserve"> </w:t>
      </w:r>
      <w:r w:rsidRPr="00680395">
        <w:rPr>
          <w:b/>
          <w:bCs/>
        </w:rPr>
        <w:t xml:space="preserve">le secteur Tertiaire : </w:t>
      </w:r>
      <w:r w:rsidRPr="00680395">
        <w:t>Il est recommandé d’encourager la mutualisation des espaces entre entreprises (restaurants, coworking, parkings, etc.). Il est de plus préconisé de mettre en place un objectif d'autoconsommation énergétique et de mutualisation des ressources et déchets. Il est conseillé de communiquer auprès des professionnels du secteur du bâtiment sur la mise en place d’un site unique concernant la rénovation énergétique des bâtiments mais également de rénover énergétiquement ces derniers</w:t>
      </w:r>
      <w:r>
        <w:t>. Il est recommandé de réaliser un benchmark important sur les besoin en création de filières et de se faire accompagner sur le développement de l'économie circulaire et l'Ecologie Industrielle et Territoriale (EIT), par des associations nationales ou locales.</w:t>
      </w:r>
    </w:p>
    <w:p w14:paraId="37E8630D" w14:textId="77777777" w:rsidR="00B721B8" w:rsidRPr="00680395" w:rsidRDefault="00B721B8" w:rsidP="00055A7C">
      <w:pPr>
        <w:pStyle w:val="QBO-Puces1"/>
      </w:pPr>
      <w:r w:rsidRPr="00680395">
        <w:rPr>
          <w:b/>
          <w:bCs/>
        </w:rPr>
        <w:t>Pour les transports routiers et non routiers :</w:t>
      </w:r>
      <w:r w:rsidRPr="00680395">
        <w:t xml:space="preserve"> Il est recommandé d’accompagner les entreprises et structures à établir un plan de mobilité employeur (PDME) ou un Plan de mobilité (PDM) afin de favoriser des modes de déplacements vertueux. Il est également recommandé d’accompagner les activités industrielles et tertiaires vers des équipements de mobilité davantage décarboné (flotte de vélos électriques, voitures hybrides rechargeables ou électriques). Le déploiement de lignes de bus « entreprises » afin de rejoindre les </w:t>
      </w:r>
      <w:r>
        <w:t>zones d’activités économiques</w:t>
      </w:r>
      <w:r w:rsidRPr="00680395">
        <w:t xml:space="preserve"> ainsi que la mise en place de lieux d’intermodalité (pool gare/transports en commun/vélos), pour les personnes se rendant au travail, sont également à favoriser.</w:t>
      </w:r>
      <w:r>
        <w:t xml:space="preserve"> Il est également conseillé de réfléchir à l’implantation des infrastructures de mobilité (aires de covoiturage, stations d’autopartage, bornes de recharge de véhicules électriques) en fonction des sites d’activités économiques du territoire. Enfin, il est conseillé d’expérimenter avec plusieurs entreprises quant à l’emport de vélos dans les lignes interurbaines.</w:t>
      </w:r>
    </w:p>
    <w:p w14:paraId="692CB8FF" w14:textId="77777777" w:rsidR="00B721B8" w:rsidRPr="0012737E" w:rsidRDefault="00B721B8" w:rsidP="00055A7C">
      <w:pPr>
        <w:pStyle w:val="QBO-Puces1"/>
      </w:pPr>
      <w:r w:rsidRPr="0012737E">
        <w:rPr>
          <w:b/>
          <w:bCs/>
        </w:rPr>
        <w:t>Pour le secteur des déchets :</w:t>
      </w:r>
      <w:r w:rsidRPr="0012737E">
        <w:t xml:space="preserve"> Il est recommandé la mise en place d'actions relatives au tri de déchets et à la réduction de ceux-ci à la source afin de réduire l'impact des déchets, et l’accompagnement d’entreprises dans des démarches d'économie circulaire (Ecologie Industrielle Territoriale, Economie de la fonctionnalité) avec un groupe d'entreprises « engagées dans l'économie circulaire » (solliciter les associations d’entreprises et les réseaux professionnels). Il est également conseillé d’employer le programme Territoire Econome en Ressources (TER) afin de réduire le tonnage de déchets des activités économiques.</w:t>
      </w:r>
    </w:p>
    <w:p w14:paraId="73C1EF37" w14:textId="77777777" w:rsidR="00B721B8" w:rsidRPr="0012737E" w:rsidRDefault="00B721B8" w:rsidP="00055A7C">
      <w:pPr>
        <w:pStyle w:val="QBO-Puces1"/>
      </w:pPr>
      <w:r w:rsidRPr="0012737E">
        <w:rPr>
          <w:b/>
          <w:bCs/>
        </w:rPr>
        <w:t xml:space="preserve">Pour le secteur industrie hors branche énergie : </w:t>
      </w:r>
      <w:r w:rsidRPr="0012737E">
        <w:t>Il est recommandé de privilégier la coopération entre acteurs (synergies industrielles) permettant de réduire la consommation de foncier, production de déchets et les consommations énergétiques (Ecologie Industrielle et Territoriale)</w:t>
      </w:r>
      <w:r>
        <w:t>.</w:t>
      </w:r>
    </w:p>
    <w:p w14:paraId="7203165A" w14:textId="77777777" w:rsidR="00B721B8" w:rsidRPr="0012737E" w:rsidRDefault="00B721B8" w:rsidP="00055A7C">
      <w:pPr>
        <w:pStyle w:val="QBO-Puces1"/>
      </w:pPr>
      <w:r w:rsidRPr="0012737E">
        <w:rPr>
          <w:b/>
          <w:bCs/>
        </w:rPr>
        <w:t>Pour le secteur industrie branche énergie :</w:t>
      </w:r>
      <w:r w:rsidRPr="0012737E">
        <w:t xml:space="preserve"> Il est recommandé de réaliser des études d'impacts lors de l'implantation de systèmes de production d'énergies renouvelables, avec un aspect spécifique sur les impacts des activités industrielles et tertiaires. Il est conseillé de développer massivement la mise en place de panneaux solaires sur les bâtiments d’activités industrielles et tertiaires avec un accompagnement spécifique pour </w:t>
      </w:r>
      <w:r>
        <w:t>les propriétaires d’un foncier important afin d’avoir des « locomotives » de production électrique sur le territoire.</w:t>
      </w:r>
    </w:p>
    <w:p w14:paraId="7B7D60D2" w14:textId="77777777" w:rsidR="00B721B8" w:rsidRPr="0012737E" w:rsidRDefault="00B721B8" w:rsidP="00055A7C">
      <w:pPr>
        <w:pStyle w:val="QBO-Puces1"/>
        <w:spacing w:after="240"/>
      </w:pPr>
      <w:r w:rsidRPr="0012737E">
        <w:rPr>
          <w:b/>
          <w:bCs/>
        </w:rPr>
        <w:lastRenderedPageBreak/>
        <w:t>Pour le secteur agriculture :</w:t>
      </w:r>
      <w:r w:rsidRPr="0012737E">
        <w:t xml:space="preserve"> Il est conseillé de favoriser l'approvisionnement en circuit-court pour les activités industrielles (agroalimentaire), en rapprochant les activités de transformation des produits agricoles des lieux de production. Il est conseillé de développer des outils de transformation en lien avec la transition agricole attendue sur le territoire (davantage de maraichers et de production végétale).</w:t>
      </w:r>
    </w:p>
    <w:p w14:paraId="13F8484F" w14:textId="77777777" w:rsidR="00B721B8" w:rsidRPr="00B721B8" w:rsidRDefault="00B721B8" w:rsidP="00B721B8">
      <w:pPr>
        <w:rPr>
          <w:rFonts w:cstheme="minorHAnsi"/>
          <w:b/>
          <w:bCs/>
          <w:i/>
          <w:iCs/>
          <w:color w:val="F3C345" w:themeColor="accent1"/>
          <w:sz w:val="24"/>
          <w:szCs w:val="24"/>
        </w:rPr>
      </w:pPr>
      <w:r w:rsidRPr="00B721B8">
        <w:rPr>
          <w:rFonts w:cstheme="minorHAnsi"/>
          <w:b/>
          <w:bCs/>
          <w:i/>
          <w:iCs/>
          <w:color w:val="F3C345" w:themeColor="accent1"/>
          <w:sz w:val="24"/>
          <w:szCs w:val="24"/>
        </w:rPr>
        <w:t>Services publics et parapublics</w:t>
      </w:r>
    </w:p>
    <w:p w14:paraId="36FAC775" w14:textId="77777777" w:rsidR="00B721B8" w:rsidRPr="0012737E" w:rsidRDefault="00B721B8" w:rsidP="00B721B8">
      <w:pPr>
        <w:pStyle w:val="QBO-Texte"/>
      </w:pPr>
      <w:r w:rsidRPr="0012737E">
        <w:rPr>
          <w:b/>
          <w:bCs/>
        </w:rPr>
        <w:t xml:space="preserve">Les recommandations : </w:t>
      </w:r>
      <w:r w:rsidRPr="0012737E">
        <w:t xml:space="preserve">Les enjeux associés </w:t>
      </w:r>
      <w:r>
        <w:rPr>
          <w:b/>
          <w:bCs/>
        </w:rPr>
        <w:t>aux</w:t>
      </w:r>
      <w:r w:rsidRPr="0012737E">
        <w:rPr>
          <w:b/>
          <w:bCs/>
        </w:rPr>
        <w:t xml:space="preserve"> services publics</w:t>
      </w:r>
      <w:r>
        <w:rPr>
          <w:b/>
          <w:bCs/>
        </w:rPr>
        <w:t xml:space="preserve"> et parapublics</w:t>
      </w:r>
      <w:r w:rsidRPr="0012737E">
        <w:t xml:space="preserve"> autour du PCAET peuvent se retranscrire par l’accompagnement des citoyens et entreprises dans leurs démarches </w:t>
      </w:r>
      <w:r>
        <w:t>de transition environnementale (énergie, mobilité, adaptation, etc.)</w:t>
      </w:r>
      <w:r w:rsidRPr="0012737E">
        <w:t xml:space="preserve"> ainsi que le développement de politiques environnementales volontaristes</w:t>
      </w:r>
      <w:r>
        <w:t xml:space="preserve">, démontrant </w:t>
      </w:r>
      <w:r w:rsidRPr="0012737E">
        <w:t>une volonté d’exemplarité et de</w:t>
      </w:r>
      <w:r>
        <w:t xml:space="preserve"> mise en place</w:t>
      </w:r>
      <w:r w:rsidRPr="0012737E">
        <w:t xml:space="preserve"> d’objectifs ambitieux pour le territoire.</w:t>
      </w:r>
    </w:p>
    <w:p w14:paraId="4DC2954A" w14:textId="77777777" w:rsidR="00B721B8" w:rsidRPr="00637F14" w:rsidRDefault="00B721B8" w:rsidP="00055A7C">
      <w:pPr>
        <w:pStyle w:val="QBO-Puces1"/>
      </w:pPr>
      <w:r w:rsidRPr="00637F14">
        <w:rPr>
          <w:b/>
          <w:bCs/>
        </w:rPr>
        <w:t>Pour</w:t>
      </w:r>
      <w:r w:rsidRPr="00637F14">
        <w:t xml:space="preserve"> </w:t>
      </w:r>
      <w:r w:rsidRPr="00637F14">
        <w:rPr>
          <w:b/>
          <w:bCs/>
        </w:rPr>
        <w:t>les secteurs Tertiaire et Résidentiel :</w:t>
      </w:r>
      <w:r w:rsidRPr="00637F14">
        <w:t xml:space="preserve"> Il est recommandé une exemplarité des services publics et parapublics sur le sujet de la rénovation énergétique. Il est de plus conseillé d’accompagner les entreprises quant à l’utilisation du guichet unique et au suivi des mesures de soutien à la rénovation. Il est conseillé d’utiliser les achats publics afin de favoriser l’économie circulaire et de boucles vertueuses auprès des entreprises du territoire</w:t>
      </w:r>
      <w:r>
        <w:t xml:space="preserve"> (mise en place de temps d’échanges, réunions entre les associations d’entreprises du territoire). </w:t>
      </w:r>
      <w:r w:rsidRPr="00C77823">
        <w:t xml:space="preserve">Il est </w:t>
      </w:r>
      <w:r>
        <w:t xml:space="preserve">également </w:t>
      </w:r>
      <w:r w:rsidRPr="00C77823">
        <w:t>recommandé de traduire opérationnellement pour chaque commune des objectifs de développement de l'économie circulaire au sein des achats publics communaux.</w:t>
      </w:r>
    </w:p>
    <w:p w14:paraId="3CE62428" w14:textId="77777777" w:rsidR="00B721B8" w:rsidRPr="00637F14" w:rsidRDefault="00B721B8" w:rsidP="00055A7C">
      <w:pPr>
        <w:pStyle w:val="QBO-Puces1"/>
      </w:pPr>
      <w:r w:rsidRPr="00B02A85">
        <w:rPr>
          <w:b/>
          <w:bCs/>
        </w:rPr>
        <w:t>Pour les transports routiers et non routiers :</w:t>
      </w:r>
      <w:r w:rsidRPr="00637F14">
        <w:t xml:space="preserve"> Il est recommandé de développer les transports en commun sur le territoire (amplitude horaire et dessertes). Il est conseillé d’accroitre le nombre d’aires de covoiturage et d’autopartage</w:t>
      </w:r>
      <w:r>
        <w:t xml:space="preserve"> (particulièrement au plus proche des sites publics)</w:t>
      </w:r>
      <w:r w:rsidRPr="00637F14">
        <w:t xml:space="preserve"> pour réduire la part de l’autosolisme tout en étant exemplaire sur la transition du parc des véhicules de la collectivité (davantage de véhicules électriques). Il est également conseillé de faire le lien avec le plan de mobilité QBO 2030, en articulant les différents plans et stratégies communales afin d’avoir une cohérence territoriale et des objectifs chiffrés. </w:t>
      </w:r>
      <w:r>
        <w:t xml:space="preserve">De plus, il est recommandé d'articuler l'ensemble des plans, stratégies et programmes des communes (PMS, PAVE, PLU, schéma vélo, etc.) en un document unique de référence pour le territoire tout en allant chercher des retours d’expérience d’autres territoires pionniers en matière de mobilité. </w:t>
      </w:r>
      <w:r w:rsidRPr="00637F14">
        <w:t>Enfin il est recommandé que la collectivité réalise un lobbying pour le développement du nombre de lignes de train</w:t>
      </w:r>
      <w:r>
        <w:t xml:space="preserve"> et la fréquence de desserte du territoire</w:t>
      </w:r>
      <w:r w:rsidRPr="00637F14">
        <w:t xml:space="preserve"> (provenant de Brest, Rennes, Nantes, etc.) et encourage les agents de la fonction publique à prendre le train.</w:t>
      </w:r>
      <w:r>
        <w:t xml:space="preserve"> </w:t>
      </w:r>
    </w:p>
    <w:p w14:paraId="6405D810" w14:textId="77777777" w:rsidR="00B721B8" w:rsidRPr="00457548" w:rsidRDefault="00B721B8" w:rsidP="00055A7C">
      <w:pPr>
        <w:pStyle w:val="QBO-Puces1"/>
      </w:pPr>
      <w:r w:rsidRPr="00457548">
        <w:rPr>
          <w:b/>
          <w:bCs/>
        </w:rPr>
        <w:t>Pour le secteur des déchets :</w:t>
      </w:r>
      <w:r w:rsidRPr="00457548">
        <w:t xml:space="preserve"> Il est recommandé de faire des services publics, des exemples de réduction, réutilisation et recyclage des déchets, avec des objectifs du territoire (dans le cadre de son PLPDMA) alignés sur les objectifs supérieurs (PRPGD notamment). Il est également conseillé de traduire de façon opérationnelle pour chaque commune</w:t>
      </w:r>
      <w:r>
        <w:t>,</w:t>
      </w:r>
      <w:r w:rsidRPr="00457548">
        <w:t xml:space="preserve"> des objectifs de développement de l'économie circulaire au sein des achats publics communaux, permettant une réduction globale de la quantité de déchets. Enfin, concernant les biodéchets, il est conseillé de mettre en place des objectifs ambitieux avec un accompagnement spécifique pour les zones les plus urbaines.</w:t>
      </w:r>
    </w:p>
    <w:p w14:paraId="4F3ECD3B" w14:textId="77777777" w:rsidR="00B721B8" w:rsidRPr="00457548" w:rsidRDefault="00B721B8" w:rsidP="00055A7C">
      <w:pPr>
        <w:pStyle w:val="QBO-Puces1"/>
        <w:rPr>
          <w:b/>
          <w:bCs/>
        </w:rPr>
      </w:pPr>
      <w:r w:rsidRPr="00457548">
        <w:rPr>
          <w:b/>
          <w:bCs/>
        </w:rPr>
        <w:t xml:space="preserve">Pour le secteur industrie hors branche énergie : </w:t>
      </w:r>
      <w:r w:rsidRPr="00457548">
        <w:t xml:space="preserve">Il est recommandé de mettre en place un réseau alliant services publics et industriels pour les aider à s'engager fortement vers la réduction des consommations d'énergie et émissions de </w:t>
      </w:r>
      <w:r>
        <w:t>gaz à effet de serre</w:t>
      </w:r>
      <w:r w:rsidRPr="00457548">
        <w:t>. Un accompagnement des services publics à la transition du secteur industrie (aides financières, accompagnement projets d'énergies renouvelables) est conseillé.</w:t>
      </w:r>
    </w:p>
    <w:p w14:paraId="37542E18" w14:textId="77777777" w:rsidR="00B721B8" w:rsidRPr="00457548" w:rsidRDefault="00B721B8" w:rsidP="00055A7C">
      <w:pPr>
        <w:pStyle w:val="QBO-Puces1"/>
      </w:pPr>
      <w:r w:rsidRPr="00457548">
        <w:rPr>
          <w:b/>
          <w:bCs/>
        </w:rPr>
        <w:t>Pour le secteur industrie branche énergie :</w:t>
      </w:r>
      <w:r w:rsidRPr="00457548">
        <w:t xml:space="preserve"> Il est recommandé de faire des services publics les médiateurs de projets énergétiques citoyens. Les services publics peuvent impulser (avec une mise en réseau, favoriser des achats groupés) et accompagner les projets de production d'énergie renouvelables sur des sites </w:t>
      </w:r>
      <w:r>
        <w:t>à fort potentiel</w:t>
      </w:r>
      <w:r w:rsidRPr="00457548">
        <w:t xml:space="preserve">. </w:t>
      </w:r>
    </w:p>
    <w:p w14:paraId="33792A82" w14:textId="77777777" w:rsidR="00B721B8" w:rsidRPr="00457548" w:rsidRDefault="00B721B8" w:rsidP="00055A7C">
      <w:pPr>
        <w:pStyle w:val="QBO-Puces1"/>
        <w:spacing w:after="240"/>
      </w:pPr>
      <w:r w:rsidRPr="00457548">
        <w:rPr>
          <w:b/>
          <w:bCs/>
        </w:rPr>
        <w:lastRenderedPageBreak/>
        <w:t>Pour le secteur agriculture :</w:t>
      </w:r>
      <w:r w:rsidRPr="00457548">
        <w:t xml:space="preserve"> Il est conseillé la mise en place d’un réseau alliant services publics et agriculteurs pour les aider à s'engager fortement vers la réduction des consommations d'énergie et émissions de </w:t>
      </w:r>
      <w:r>
        <w:t>gaz à effet de serre</w:t>
      </w:r>
      <w:r w:rsidRPr="00457548">
        <w:t xml:space="preserve">. Les services publics et parapublics pouvant être des clients importants pour le secteur agricole du territoire, il est recommandé d’intégrer des clauses de production biologique dans les marchés de restauration collective (scolaire, pour les agents, etc.). La mise en réseau des chefs de </w:t>
      </w:r>
      <w:r>
        <w:t>cuisine</w:t>
      </w:r>
      <w:r w:rsidRPr="00457548">
        <w:t xml:space="preserve"> mais également la mise en place de temps d’échanges entre agriculteurs et chefs de </w:t>
      </w:r>
      <w:r>
        <w:t>cuisine</w:t>
      </w:r>
      <w:r w:rsidRPr="00457548">
        <w:t xml:space="preserve"> permettrait de faire coïncider les besoins en aliments et la production disponible (modification des recettes en fonction de la production et visibilité plus importante des agriculteurs en fonction de la demande des chefs de cuisine). Par ailleurs, un enjeu d’accompagnement social est particulièrement prégnant pour le secteur agricole</w:t>
      </w:r>
      <w:r>
        <w:t xml:space="preserve">, </w:t>
      </w:r>
      <w:r w:rsidRPr="00457548">
        <w:t>il est recommandé que la collectivité s’implique sur ce sujet afin de concilier transition écologique et enjeux socio-économiques de l’agriculture. Enfin, afin d’attirer de nouveaux agriculteurs et de favoriser une transition du système agricole, il est conseillé d’acheter certaines parcelles agricoles et de les convertir en Agriculture Biologique, d’expérimenter des régies agricoles communales mais également de se donner un objectif ambitieux de repas végétariens dans les cantines scolaires.</w:t>
      </w:r>
    </w:p>
    <w:p w14:paraId="4A608442" w14:textId="77777777" w:rsidR="00B721B8" w:rsidRPr="00B721B8" w:rsidRDefault="00B721B8" w:rsidP="00B721B8">
      <w:pPr>
        <w:rPr>
          <w:rFonts w:cstheme="minorHAnsi"/>
          <w:b/>
          <w:bCs/>
          <w:i/>
          <w:iCs/>
          <w:color w:val="F3C345" w:themeColor="accent1"/>
          <w:sz w:val="24"/>
          <w:szCs w:val="24"/>
        </w:rPr>
      </w:pPr>
      <w:r w:rsidRPr="00B721B8">
        <w:rPr>
          <w:rFonts w:cstheme="minorHAnsi"/>
          <w:b/>
          <w:bCs/>
          <w:i/>
          <w:iCs/>
          <w:color w:val="F3C345" w:themeColor="accent1"/>
          <w:sz w:val="24"/>
          <w:szCs w:val="24"/>
        </w:rPr>
        <w:t>Patrimoine et paysages</w:t>
      </w:r>
    </w:p>
    <w:p w14:paraId="73BEB94E" w14:textId="77777777" w:rsidR="00B721B8" w:rsidRPr="008551DA" w:rsidRDefault="00B721B8" w:rsidP="00B721B8">
      <w:pPr>
        <w:pStyle w:val="QBO-Texte"/>
        <w:rPr>
          <w:b/>
          <w:bCs/>
        </w:rPr>
      </w:pPr>
      <w:r w:rsidRPr="008551DA">
        <w:rPr>
          <w:b/>
          <w:bCs/>
        </w:rPr>
        <w:t>Les recommandations : Le patrimoine et les paysages</w:t>
      </w:r>
      <w:r w:rsidRPr="008551DA">
        <w:t xml:space="preserve"> comprennent un certain nombre d’enjeux, notamment l’aménagement des bâtiments patrimoniaux sans détérioration de leur valeur historique, la préservation et </w:t>
      </w:r>
      <w:r>
        <w:t xml:space="preserve">la </w:t>
      </w:r>
      <w:r w:rsidRPr="008551DA">
        <w:t>restauration du patrimoine paysager (particulièrement bocager) ou bien encore la réduction de l’étalement urbain.</w:t>
      </w:r>
    </w:p>
    <w:p w14:paraId="76D7E3A9" w14:textId="77777777" w:rsidR="00B721B8" w:rsidRPr="008551DA" w:rsidRDefault="00B721B8" w:rsidP="00055A7C">
      <w:pPr>
        <w:pStyle w:val="QBO-Puces1"/>
      </w:pPr>
      <w:r w:rsidRPr="008551DA">
        <w:rPr>
          <w:b/>
          <w:bCs/>
        </w:rPr>
        <w:t>Pour</w:t>
      </w:r>
      <w:r w:rsidRPr="008551DA">
        <w:t xml:space="preserve"> </w:t>
      </w:r>
      <w:r w:rsidRPr="008551DA">
        <w:rPr>
          <w:b/>
          <w:bCs/>
        </w:rPr>
        <w:t>les secteurs Tertiaire et Résidentiel :</w:t>
      </w:r>
      <w:r w:rsidRPr="008551DA">
        <w:t xml:space="preserve"> Il est recommandé de réaliser des études d'impacts en amont des projets de rénovations et de constructions des bâtiments résidentiels et tertiaires, afin de ne pas engendrer de dégradation sur la biodiversité et les continuités écologiques par exemple. </w:t>
      </w:r>
      <w:r>
        <w:t xml:space="preserve">Il est aussi recommandé de travailler à une meilleure intégration paysagère des lisières urbaines et des zones d’activités économiques. </w:t>
      </w:r>
      <w:r w:rsidRPr="008551DA">
        <w:t>Il est également conseillé de mener une réflexion sur l'intégration des bâtiments au sein du patrimoine architectural, avant toute opération</w:t>
      </w:r>
      <w:r>
        <w:t>,</w:t>
      </w:r>
      <w:r w:rsidRPr="008551DA">
        <w:t xml:space="preserve"> tout en intégrant au sein des rénovations des matériaux biosourcés.</w:t>
      </w:r>
      <w:r>
        <w:t xml:space="preserve"> </w:t>
      </w:r>
    </w:p>
    <w:p w14:paraId="5345D430" w14:textId="77777777" w:rsidR="00B721B8" w:rsidRPr="008551DA" w:rsidRDefault="00B721B8" w:rsidP="00055A7C">
      <w:pPr>
        <w:pStyle w:val="QBO-Puces1"/>
      </w:pPr>
      <w:r w:rsidRPr="008551DA">
        <w:rPr>
          <w:b/>
          <w:bCs/>
        </w:rPr>
        <w:t>Pour les transports routiers et non routiers :</w:t>
      </w:r>
      <w:r w:rsidRPr="008551DA">
        <w:t xml:space="preserve"> Il est recommandé de réaliser des études d'impacts en amont des projets de rénovations et de constructions des infrastructures routières afin de ne pas engendrer de dégradation sur la biodiversité et les continuités écologiques par exemple. Il est conseillé de privilégier un changement des infrastructures (délaissé routier vers de la piste cyclable</w:t>
      </w:r>
      <w:r>
        <w:t>, etc.</w:t>
      </w:r>
      <w:r w:rsidRPr="008551DA">
        <w:t>) plutôt que la construction de nouvelles infrastructures. Pour la construction de ces dernières (voie verte, parkings vélos, station covoiturage, etc.) il est recommandé d’évaluer leur intégration au sein du paysage. Il est également conseillé de revoir le dimensionnement des voiries lorsque la vitesse de circulation est abaissée. Le gain en surface pourrait alors servir à des aménités urbaines ou à de la végétalisation.</w:t>
      </w:r>
    </w:p>
    <w:p w14:paraId="38EA10C7" w14:textId="77777777" w:rsidR="00B721B8" w:rsidRPr="008551DA" w:rsidRDefault="00B721B8" w:rsidP="00055A7C">
      <w:pPr>
        <w:pStyle w:val="QBO-Puces1"/>
      </w:pPr>
      <w:r w:rsidRPr="008551DA">
        <w:rPr>
          <w:b/>
          <w:bCs/>
        </w:rPr>
        <w:t>Pour le secteur des déchets :</w:t>
      </w:r>
      <w:r w:rsidRPr="008551DA">
        <w:t xml:space="preserve"> Il est recommandé de sensibiliser les usagers du territoire à la réduction des déchets à la source et au tri, afin que ces derniers ne dégradent pas le milieu naturel. Il est conseillé de travailler avec la police de l'environnement afin qu’elle soit davantage coercitive concernant les décharges sauvages, particulièrement celles pouvant se trouver au sein d'espaces naturels protégés. Il est également recommandé d’avoir une vigilance forte quant au risque de pollution des sites de méthaniseurs.</w:t>
      </w:r>
    </w:p>
    <w:p w14:paraId="069265E2" w14:textId="77777777" w:rsidR="00B721B8" w:rsidRPr="008551DA" w:rsidRDefault="00B721B8" w:rsidP="00055A7C">
      <w:pPr>
        <w:pStyle w:val="QBO-Puces1"/>
      </w:pPr>
      <w:r w:rsidRPr="008551DA">
        <w:rPr>
          <w:b/>
          <w:bCs/>
        </w:rPr>
        <w:t xml:space="preserve">Pour le secteur industrie hors branche énergie : </w:t>
      </w:r>
      <w:r w:rsidRPr="008551DA">
        <w:t>Il est recommandé de réaliser des études d'impacts en amont des projets de rénovations et de constructions des bâtiments industriels afin de ne pas engendrer de dégradation sur la biodiversité et les continuités écologiques par exemple. Il est également recommandé d’encourager à la renaturation des sites industriel</w:t>
      </w:r>
      <w:r>
        <w:t>s et à une intégration paysagère qualitative des zones d’activités économiques et bâtiments industriels plus isolés</w:t>
      </w:r>
    </w:p>
    <w:p w14:paraId="395B3C6F" w14:textId="77777777" w:rsidR="00B721B8" w:rsidRPr="008551DA" w:rsidRDefault="00B721B8" w:rsidP="00055A7C">
      <w:pPr>
        <w:pStyle w:val="QBO-Puces1"/>
      </w:pPr>
      <w:r w:rsidRPr="008551DA">
        <w:rPr>
          <w:b/>
          <w:bCs/>
        </w:rPr>
        <w:lastRenderedPageBreak/>
        <w:t>Pour le secteur industrie branche énergie :</w:t>
      </w:r>
      <w:r w:rsidRPr="008551DA">
        <w:t xml:space="preserve"> Il est recommandé de réaliser des études d'impacts lors de l'implantation de systèmes de production d'énergies renouvelables, afin de ne pas dégrader le patrimoine naturel du territoire, et de privilégier le « renouvellement » (consiste à remplacer tout ou partie d’anciennes infrastructures énergétiques par de nouvelles, sur le même site) lorsque c'est possible. Il est également conseillé d’avoir une réflexion sur l’esthétisme des ombrières photovoltaïques et leur intégration paysagère mais également une vigilance sur l’implantation des éoliennes et méthaniseurs sur le territoire.</w:t>
      </w:r>
    </w:p>
    <w:p w14:paraId="7C2A440A" w14:textId="77777777" w:rsidR="00B721B8" w:rsidRDefault="00B721B8" w:rsidP="00055A7C">
      <w:pPr>
        <w:pStyle w:val="QBO-Puces1"/>
      </w:pPr>
      <w:r w:rsidRPr="000F6B0D">
        <w:rPr>
          <w:b/>
          <w:bCs/>
        </w:rPr>
        <w:t>Pour le secteur agriculture :</w:t>
      </w:r>
      <w:r w:rsidRPr="000F6B0D">
        <w:t xml:space="preserve"> Il est recommandé de développer le patrimoine paysager des terres agricoles avec la plantation de haies bocagères et la préservation des prairies permanentes.</w:t>
      </w:r>
    </w:p>
    <w:p w14:paraId="5F814D10" w14:textId="77777777" w:rsidR="009D5530" w:rsidRPr="00E1705D" w:rsidRDefault="009D5530">
      <w:pPr>
        <w:pStyle w:val="SGBDS-Normal"/>
        <w:rPr>
          <w:highlight w:val="yellow"/>
        </w:rPr>
      </w:pPr>
    </w:p>
    <w:p w14:paraId="7E765964" w14:textId="77777777" w:rsidR="009D5530" w:rsidRPr="00E1705D" w:rsidRDefault="007E57EC">
      <w:pPr>
        <w:spacing w:after="200" w:line="276" w:lineRule="auto"/>
        <w:jc w:val="left"/>
        <w:rPr>
          <w:highlight w:val="yellow"/>
        </w:rPr>
      </w:pPr>
      <w:r w:rsidRPr="00E1705D">
        <w:rPr>
          <w:highlight w:val="yellow"/>
        </w:rPr>
        <w:br w:type="page"/>
      </w:r>
    </w:p>
    <w:p w14:paraId="1D5057D4" w14:textId="77777777" w:rsidR="009D5530" w:rsidRPr="00B721B8" w:rsidRDefault="007E57EC" w:rsidP="00DC099E">
      <w:pPr>
        <w:pStyle w:val="SGBDS-Titre1"/>
      </w:pPr>
      <w:bookmarkStart w:id="60" w:name="_Toc179277415"/>
      <w:r w:rsidRPr="00B721B8">
        <w:lastRenderedPageBreak/>
        <w:t>Mesures pour éviter, réduire et/ou compenser les impacts négatifs de la mise en œuvre du PCAET</w:t>
      </w:r>
      <w:bookmarkEnd w:id="60"/>
    </w:p>
    <w:p w14:paraId="2E46154B" w14:textId="77777777" w:rsidR="009D5530" w:rsidRPr="00A651A2" w:rsidRDefault="007E57EC" w:rsidP="00D23224">
      <w:pPr>
        <w:pStyle w:val="Titre2"/>
        <w:rPr>
          <w:rStyle w:val="Dfinition-corpsCar"/>
          <w:rFonts w:cstheme="majorBidi"/>
          <w:i w:val="0"/>
          <w:iCs w:val="0"/>
          <w:sz w:val="28"/>
          <w:szCs w:val="28"/>
        </w:rPr>
      </w:pPr>
      <w:bookmarkStart w:id="61" w:name="_Toc179277416"/>
      <w:r w:rsidRPr="00A651A2">
        <w:t>Principe de définition des mesures</w:t>
      </w:r>
      <w:bookmarkEnd w:id="61"/>
    </w:p>
    <w:p w14:paraId="51AB9757" w14:textId="77777777" w:rsidR="009D5530" w:rsidRPr="00601247" w:rsidRDefault="007E57EC" w:rsidP="00055A7C">
      <w:pPr>
        <w:pStyle w:val="QBO-Texte"/>
      </w:pPr>
      <w:bookmarkStart w:id="62" w:name="_Hlk176511482"/>
      <w:r w:rsidRPr="00601247">
        <w:t xml:space="preserve">Les mesures proposées doivent être réalistes car elles représentent un engagement de la part de la collectivité. Elles sont adaptées aux impacts attendus et proportionnelles aux enjeux identifiés. Certains effets sont </w:t>
      </w:r>
      <w:r w:rsidRPr="00601247">
        <w:rPr>
          <w:b/>
          <w:bCs/>
        </w:rPr>
        <w:t>évitables</w:t>
      </w:r>
      <w:r w:rsidRPr="00601247">
        <w:t xml:space="preserve">, c’est-à-dire que par le choix des modalités de mise en œuvre, l’action peut ne générer aucun impact négatif. D’autres effets sont </w:t>
      </w:r>
      <w:r w:rsidRPr="00601247">
        <w:rPr>
          <w:b/>
          <w:bCs/>
        </w:rPr>
        <w:t>réductibles</w:t>
      </w:r>
      <w:r w:rsidRPr="00601247">
        <w:t xml:space="preserve">, c’est-à-dire que des dispositions appropriées les limiteront dans le temps ou dans l’espace. D’autres ne peuvent être réduits et des </w:t>
      </w:r>
      <w:r w:rsidRPr="00601247">
        <w:rPr>
          <w:b/>
          <w:bCs/>
        </w:rPr>
        <w:t>mesures compensatoires</w:t>
      </w:r>
      <w:r w:rsidRPr="00601247">
        <w:t xml:space="preserve"> sont à prévoir.</w:t>
      </w:r>
    </w:p>
    <w:p w14:paraId="3ED9CE2E" w14:textId="763A6C0C" w:rsidR="009D5530" w:rsidRPr="00601247" w:rsidRDefault="007E57EC" w:rsidP="00055A7C">
      <w:pPr>
        <w:pStyle w:val="QBO-Texte"/>
      </w:pPr>
      <w:r w:rsidRPr="00601247">
        <w:t xml:space="preserve">Plusieurs points de vigilances ont été explicités via l’analyse des incidences environnementales, lors de l’analyse du </w:t>
      </w:r>
      <w:r w:rsidR="00601247" w:rsidRPr="00601247">
        <w:t>programme</w:t>
      </w:r>
      <w:r w:rsidRPr="00601247">
        <w:t xml:space="preserve"> d’actions initial comme final. Les mesures présentées ci-après sont adaptées pour l’ensemble des points de vigilance identifiés au cours de l’analyse (y compris pour ceux ayant été « corrigés » dans le </w:t>
      </w:r>
      <w:r w:rsidR="00601247" w:rsidRPr="00601247">
        <w:t>programme</w:t>
      </w:r>
      <w:r w:rsidRPr="00601247">
        <w:t xml:space="preserve"> d’actions final). Les mesures sont présentées selon les types d’impacts possibles.</w:t>
      </w:r>
    </w:p>
    <w:p w14:paraId="44C791ED" w14:textId="77777777" w:rsidR="009D5530" w:rsidRPr="00601247" w:rsidRDefault="007E57EC" w:rsidP="00D23224">
      <w:pPr>
        <w:pStyle w:val="Titre2"/>
      </w:pPr>
      <w:bookmarkStart w:id="63" w:name="_Toc179277417"/>
      <w:bookmarkEnd w:id="62"/>
      <w:r w:rsidRPr="00601247">
        <w:t>Impacts identifiés et mesures associées</w:t>
      </w:r>
      <w:bookmarkEnd w:id="63"/>
    </w:p>
    <w:p w14:paraId="37361B6C" w14:textId="77777777" w:rsidR="009D5530" w:rsidRPr="00601247" w:rsidRDefault="007E57EC" w:rsidP="00601247">
      <w:pPr>
        <w:pStyle w:val="Titre3"/>
      </w:pPr>
      <w:bookmarkStart w:id="64" w:name="_Toc89854417"/>
      <w:bookmarkStart w:id="65" w:name="_Toc98841715"/>
      <w:bookmarkStart w:id="66" w:name="_Toc179277418"/>
      <w:r w:rsidRPr="00601247">
        <w:t>Dégradation de la qualité paysagère ou patrimoniale</w:t>
      </w:r>
      <w:bookmarkEnd w:id="64"/>
      <w:bookmarkEnd w:id="65"/>
      <w:bookmarkEnd w:id="66"/>
    </w:p>
    <w:p w14:paraId="48A61AC3" w14:textId="77777777" w:rsidR="00666805" w:rsidRPr="00B02A85" w:rsidRDefault="00666805" w:rsidP="00666805">
      <w:bookmarkStart w:id="67" w:name="_Hlk176511555"/>
      <w:r w:rsidRPr="00B02A85">
        <w:t xml:space="preserve">Des travaux liés à la réalisation d’installations d’unités de production d’énergies renouvelables et/ou d’infrastructures de transport auront des impacts de différents ordres selon plusieurs paramètres (localisation, matériaux utilisés, etc.). En l’absence de mesures compensatoires, ils ont des impacts directs sur l’artificialisation et l’imperméabilisation des sols. Cela peut notamment générer des coupures de continuités écologiques </w:t>
      </w:r>
      <w:r w:rsidRPr="00573C38">
        <w:t>et dégrader</w:t>
      </w:r>
      <w:r w:rsidRPr="00B02A85">
        <w:t xml:space="preserve"> le paysage environnant ainsi que la qualité patrimoniale de certains bâtiments Les mesures préconisées pour ce type d’impact sont :</w:t>
      </w:r>
    </w:p>
    <w:p w14:paraId="275D7B17" w14:textId="77777777" w:rsidR="00666805" w:rsidRPr="00B02A85" w:rsidRDefault="00666805" w:rsidP="00666805">
      <w:pPr>
        <w:pStyle w:val="QBO-Puces1"/>
      </w:pPr>
      <w:r w:rsidRPr="00B02A85">
        <w:rPr>
          <w:b/>
          <w:bCs/>
        </w:rPr>
        <w:t xml:space="preserve">Eviter </w:t>
      </w:r>
      <w:r w:rsidRPr="00B02A85">
        <w:t>: S’appuyer sur les politiques d’aménagement et les documents qui en découlent pour empêcher toute artificialisation ; étudier toutes les solutions d’implantation sur les terres déjà artificialisées ; le cas échéant, justifier des besoins de consommation d’espace supplémentaire</w:t>
      </w:r>
      <w:r>
        <w:t> ; Accompagnement de spécialistes dans la rénovation patrimoniale et architecturale pour éviter toute dégradation lors des rénovations ;</w:t>
      </w:r>
    </w:p>
    <w:p w14:paraId="4847E970" w14:textId="77777777" w:rsidR="00666805" w:rsidRPr="00B02A85" w:rsidRDefault="00666805" w:rsidP="00666805">
      <w:pPr>
        <w:pStyle w:val="QBO-Puces1"/>
      </w:pPr>
      <w:r w:rsidRPr="00B02A85">
        <w:rPr>
          <w:b/>
          <w:bCs/>
        </w:rPr>
        <w:t xml:space="preserve">Réduire </w:t>
      </w:r>
      <w:r w:rsidRPr="00B02A85">
        <w:t>: Dans le cas de consommation d’espaces supplémentaires : choix de formes des constructions les moins consommatrices d’espaces, en continuité avec le tissu existant ; étude d’impact sur l’environnement (faune, flore, ressource en eau) et mesures d’atténuation favorisant la libre circulation des espèces (création de passages à faunes, etc.) ; gestion sur site des eaux pluviales afin de ne pas augmenter les quantités à réceptionner par les réseaux existants. S’appuyer sur les documents existants et les recensements patrimoniaux pour définir les caractéristiques des projets et garantir leur intégration dans l’espace ;</w:t>
      </w:r>
    </w:p>
    <w:p w14:paraId="09D33D7D" w14:textId="77777777" w:rsidR="00666805" w:rsidRPr="00B02A85" w:rsidRDefault="00666805" w:rsidP="00666805">
      <w:pPr>
        <w:pStyle w:val="QBO-Puces1"/>
      </w:pPr>
      <w:r w:rsidRPr="00B02A85">
        <w:rPr>
          <w:b/>
          <w:bCs/>
        </w:rPr>
        <w:t>Compenser</w:t>
      </w:r>
      <w:r w:rsidRPr="00B02A85">
        <w:t xml:space="preserve"> : En cas d’impact sur la biodiversité locale, compensation par la recréation d’espaces similaires, connectés au réseau écologique local (pas de coupure de biodiversité).</w:t>
      </w:r>
    </w:p>
    <w:p w14:paraId="07EAA90C" w14:textId="77777777" w:rsidR="00666805" w:rsidRPr="00205A2E" w:rsidRDefault="00666805" w:rsidP="00666805">
      <w:pPr>
        <w:spacing w:before="240"/>
      </w:pPr>
      <w:r w:rsidRPr="00205A2E">
        <w:t>Les actions concernées sont les suivantes :</w:t>
      </w:r>
    </w:p>
    <w:p w14:paraId="5063F385" w14:textId="77777777" w:rsidR="00666805" w:rsidRPr="00205A2E" w:rsidRDefault="00666805" w:rsidP="00666805">
      <w:pPr>
        <w:pStyle w:val="QBO-Puces1"/>
      </w:pPr>
      <w:r w:rsidRPr="00205A2E">
        <w:rPr>
          <w:b/>
          <w:bCs/>
        </w:rPr>
        <w:t>Action 1.3</w:t>
      </w:r>
      <w:r w:rsidRPr="00205A2E">
        <w:t xml:space="preserve"> Orienter les agriculteurs vers les leviers d’économies d’énergie adaptés à leur exploitation et développer les énergies renouvelables </w:t>
      </w:r>
    </w:p>
    <w:p w14:paraId="25821E11" w14:textId="77777777" w:rsidR="00666805" w:rsidRPr="00205A2E" w:rsidRDefault="00666805" w:rsidP="00666805">
      <w:pPr>
        <w:pStyle w:val="QBO-Puces1"/>
      </w:pPr>
      <w:r w:rsidRPr="00205A2E">
        <w:rPr>
          <w:b/>
          <w:bCs/>
        </w:rPr>
        <w:t>Action 1.6</w:t>
      </w:r>
      <w:r w:rsidRPr="00205A2E">
        <w:t xml:space="preserve"> Accélérer la production de chaleur et d’électricité renouvelable et de biogaz</w:t>
      </w:r>
    </w:p>
    <w:p w14:paraId="0BC84979" w14:textId="77777777" w:rsidR="00666805" w:rsidRPr="00205A2E" w:rsidRDefault="00666805" w:rsidP="00666805">
      <w:pPr>
        <w:pStyle w:val="QBO-Puces1"/>
      </w:pPr>
      <w:r w:rsidRPr="00205A2E">
        <w:rPr>
          <w:b/>
          <w:bCs/>
        </w:rPr>
        <w:t>Action 1.7</w:t>
      </w:r>
      <w:r w:rsidRPr="00205A2E">
        <w:t xml:space="preserve"> Faire de l’agglomération un territoire d’expérimentions bois local</w:t>
      </w:r>
    </w:p>
    <w:p w14:paraId="1DB74B86" w14:textId="77777777" w:rsidR="00666805" w:rsidRPr="00205A2E" w:rsidRDefault="00666805" w:rsidP="00666805">
      <w:pPr>
        <w:pStyle w:val="QBO-Puces1"/>
      </w:pPr>
      <w:r w:rsidRPr="00205A2E">
        <w:rPr>
          <w:b/>
          <w:bCs/>
        </w:rPr>
        <w:t>Action 2.2</w:t>
      </w:r>
      <w:r w:rsidRPr="00205A2E">
        <w:t xml:space="preserve"> Développer et favoriser l’utilisation de modes alternatifs à la voiture individuelle</w:t>
      </w:r>
    </w:p>
    <w:p w14:paraId="1BD91FBC" w14:textId="77777777" w:rsidR="00666805" w:rsidRPr="00205A2E" w:rsidRDefault="00666805" w:rsidP="00666805">
      <w:pPr>
        <w:pStyle w:val="QBO-Puces1"/>
      </w:pPr>
      <w:r w:rsidRPr="00205A2E">
        <w:rPr>
          <w:b/>
          <w:bCs/>
        </w:rPr>
        <w:t>Action 2.3</w:t>
      </w:r>
      <w:r w:rsidRPr="00205A2E">
        <w:t xml:space="preserve"> Favoriser les énergies alternatives pour les motorisations de la flotte de véhicules des entreprises et des transports en commun </w:t>
      </w:r>
    </w:p>
    <w:p w14:paraId="73A330C8" w14:textId="77777777" w:rsidR="00666805" w:rsidRPr="00205A2E" w:rsidRDefault="00666805" w:rsidP="00666805">
      <w:pPr>
        <w:pStyle w:val="QBO-Puces1"/>
      </w:pPr>
      <w:r w:rsidRPr="00205A2E">
        <w:rPr>
          <w:b/>
          <w:bCs/>
        </w:rPr>
        <w:t>Action 3.1</w:t>
      </w:r>
      <w:r w:rsidRPr="00205A2E">
        <w:t xml:space="preserve"> Accélérer la transition écologique et énergétique des bâtiments du territoire</w:t>
      </w:r>
    </w:p>
    <w:p w14:paraId="56935F6B" w14:textId="77777777" w:rsidR="00666805" w:rsidRPr="00205A2E" w:rsidRDefault="00666805" w:rsidP="00666805">
      <w:pPr>
        <w:pStyle w:val="QBO-Puces1"/>
      </w:pPr>
      <w:r w:rsidRPr="00205A2E">
        <w:rPr>
          <w:b/>
          <w:bCs/>
        </w:rPr>
        <w:lastRenderedPageBreak/>
        <w:t>Action 3.3</w:t>
      </w:r>
      <w:r w:rsidRPr="00205A2E">
        <w:t xml:space="preserve"> Réaménager, rénover et adapter les espaces liées à l’habitat</w:t>
      </w:r>
    </w:p>
    <w:p w14:paraId="6EC061F6" w14:textId="77777777" w:rsidR="00666805" w:rsidRPr="00205A2E" w:rsidRDefault="00666805" w:rsidP="00666805">
      <w:pPr>
        <w:pStyle w:val="QBO-Puces1"/>
      </w:pPr>
      <w:r w:rsidRPr="00205A2E">
        <w:rPr>
          <w:b/>
          <w:bCs/>
        </w:rPr>
        <w:t>Action 4.5</w:t>
      </w:r>
      <w:r w:rsidRPr="00205A2E">
        <w:t xml:space="preserve"> Attirer de nouveaux agriculteurs sur le territoire et faciliter les transmissions des exploitations </w:t>
      </w:r>
    </w:p>
    <w:p w14:paraId="657B0F41" w14:textId="77777777" w:rsidR="00666805" w:rsidRDefault="00666805" w:rsidP="00666805">
      <w:pPr>
        <w:pStyle w:val="QBO-Puces1"/>
      </w:pPr>
      <w:r w:rsidRPr="00205A2E">
        <w:rPr>
          <w:b/>
          <w:bCs/>
        </w:rPr>
        <w:t xml:space="preserve">Action </w:t>
      </w:r>
      <w:r>
        <w:rPr>
          <w:b/>
          <w:bCs/>
        </w:rPr>
        <w:t>6</w:t>
      </w:r>
      <w:r w:rsidRPr="00205A2E">
        <w:rPr>
          <w:b/>
          <w:bCs/>
        </w:rPr>
        <w:t>.2</w:t>
      </w:r>
      <w:r w:rsidRPr="00205A2E">
        <w:t xml:space="preserve"> Favoriser les énergies alternatives pour les motorisations de la flotte de véhicules de la collectivité </w:t>
      </w:r>
    </w:p>
    <w:p w14:paraId="3D05183D" w14:textId="77777777" w:rsidR="00666805" w:rsidRPr="00205A2E" w:rsidRDefault="00666805" w:rsidP="00666805">
      <w:pPr>
        <w:pStyle w:val="QBO-Puces1"/>
        <w:spacing w:after="240"/>
      </w:pPr>
      <w:r w:rsidRPr="00205A2E">
        <w:rPr>
          <w:b/>
          <w:bCs/>
        </w:rPr>
        <w:t xml:space="preserve">Action </w:t>
      </w:r>
      <w:r>
        <w:rPr>
          <w:b/>
          <w:bCs/>
        </w:rPr>
        <w:t>6</w:t>
      </w:r>
      <w:r w:rsidRPr="00205A2E">
        <w:rPr>
          <w:b/>
          <w:bCs/>
        </w:rPr>
        <w:t>.3</w:t>
      </w:r>
      <w:bookmarkEnd w:id="67"/>
      <w:r>
        <w:t xml:space="preserve"> </w:t>
      </w:r>
      <w:r w:rsidRPr="00205A2E">
        <w:t>Engager la transition écologique et énergétique des collectivités</w:t>
      </w:r>
    </w:p>
    <w:p w14:paraId="077FBE05" w14:textId="77777777" w:rsidR="00666805" w:rsidRPr="00B02A85" w:rsidRDefault="00666805" w:rsidP="00666805">
      <w:pPr>
        <w:pStyle w:val="Titre3"/>
      </w:pPr>
      <w:bookmarkStart w:id="68" w:name="_Toc178258870"/>
      <w:bookmarkStart w:id="69" w:name="_Toc179277419"/>
      <w:r w:rsidRPr="00B02A85">
        <w:t>Dégradation des milieux naturels et des continuités écologiques</w:t>
      </w:r>
      <w:bookmarkEnd w:id="68"/>
      <w:bookmarkEnd w:id="69"/>
    </w:p>
    <w:p w14:paraId="4AA981D5" w14:textId="77777777" w:rsidR="00666805" w:rsidRPr="00C819DA" w:rsidRDefault="00666805" w:rsidP="00666805">
      <w:pPr>
        <w:rPr>
          <w:highlight w:val="yellow"/>
        </w:rPr>
      </w:pPr>
      <w:bookmarkStart w:id="70" w:name="_Hlk176511625"/>
      <w:r w:rsidRPr="00B02A85">
        <w:t>Les projets de constructions, rénovations et/ou nouveaux aménagements sont susceptibles de porter atteinte aux espèces faunistiques et floristiques existantes : les travaux de rénovation énergétique sur le bâti ancien peuvent avoir une incidence négative sur les espèces nichant et habitant dans les combles et anfractuosités des bâtiments anciens (oiseaux, chiroptères, etc.). L’installation</w:t>
      </w:r>
      <w:r>
        <w:t xml:space="preserve"> d</w:t>
      </w:r>
      <w:r w:rsidRPr="0059707F">
        <w:t xml:space="preserve">’unités de production d’énergies renouvelables et/ou d’infrastructures de transport </w:t>
      </w:r>
      <w:r>
        <w:t>peuvent dégrader certains milieux naturels ainsi que les continuités écologiques du territoire.</w:t>
      </w:r>
    </w:p>
    <w:p w14:paraId="63E6B52C" w14:textId="77777777" w:rsidR="00666805" w:rsidRPr="00B02A85" w:rsidRDefault="00666805" w:rsidP="00666805">
      <w:r w:rsidRPr="00B02A85">
        <w:t>En l’absence de mesures d’évitement, de réduction ou de compensation, ces projets peuvent conduire à la dégradation des habitats et accroire la fragmentation des milieux. Les mesures préconisées pour ce type d’impact sont :</w:t>
      </w:r>
    </w:p>
    <w:p w14:paraId="24C14F4C" w14:textId="77777777" w:rsidR="00666805" w:rsidRPr="00B02A85" w:rsidRDefault="00666805" w:rsidP="00666805">
      <w:pPr>
        <w:pStyle w:val="QBO-Puces1"/>
      </w:pPr>
      <w:r w:rsidRPr="00B02A85">
        <w:rPr>
          <w:b/>
          <w:bCs/>
        </w:rPr>
        <w:t xml:space="preserve">Eviter </w:t>
      </w:r>
      <w:r w:rsidRPr="00B02A85">
        <w:t>: Prendre en compte les nouveaux classements et les évolutions réglementaires (zonage, etc.) dans la rédaction des chartes et la planification du développement des énergies renouvelables</w:t>
      </w:r>
      <w:r>
        <w:t>. Mettre en place un moratoire sur certains projets de constructions ou nouveaux aménagements routiers, tout en réfléchissant davantage à une densification et intensification des usages</w:t>
      </w:r>
      <w:r w:rsidRPr="00B02A85">
        <w:t> ;</w:t>
      </w:r>
    </w:p>
    <w:p w14:paraId="270BE92F" w14:textId="77777777" w:rsidR="00666805" w:rsidRPr="00B02A85" w:rsidRDefault="00666805" w:rsidP="00666805">
      <w:pPr>
        <w:pStyle w:val="QBO-Puces1"/>
      </w:pPr>
      <w:r w:rsidRPr="00B02A85">
        <w:rPr>
          <w:b/>
          <w:bCs/>
        </w:rPr>
        <w:t>Réduire</w:t>
      </w:r>
      <w:r w:rsidRPr="00B02A85">
        <w:t xml:space="preserve"> : Dans le cadre de projets de rénovations énergétiques sur le bâti ancien, faire le lien avec les associations spécialisées telles que la Ligue de Protection des Oiseaux (LPO) qui peut intervenir pour reloger les espèces ; dans le cadre de projets de méthanisation, anticiper les risques de pollutions diffuses des sols et des eaux et adapter le choix de la localisation du projet en fonction des enjeux écologiques existants ; dans le cadre de projets d’aménagements et/ou d’unités de production d’énergies renouvelables : mettre en place des mesures d’atténuation favorisant la libre circulation des espèces (création de passages à faunes, etc.), privilégier l’usage de revêtements perméables et/ou végétalisés permettant l’infiltration des eaux pluviales et favorisant la biodiversité.</w:t>
      </w:r>
    </w:p>
    <w:p w14:paraId="0EFD69FF" w14:textId="77777777" w:rsidR="00666805" w:rsidRPr="0059707F" w:rsidRDefault="00666805" w:rsidP="00666805">
      <w:pPr>
        <w:pStyle w:val="QBO-Puces1"/>
        <w:spacing w:after="240"/>
      </w:pPr>
      <w:r w:rsidRPr="0059707F">
        <w:rPr>
          <w:b/>
          <w:bCs/>
        </w:rPr>
        <w:t>Compenser</w:t>
      </w:r>
      <w:r w:rsidRPr="0059707F">
        <w:t xml:space="preserve"> : En cas d’impact sur la biodiversité locale, compensation par la recréation d’espaces similaires, connectés au réseau écologique local (pas de coupure de biodiversité).</w:t>
      </w:r>
    </w:p>
    <w:p w14:paraId="2AD81EC6" w14:textId="77777777" w:rsidR="00666805" w:rsidRPr="00B02A85" w:rsidRDefault="00666805" w:rsidP="00666805">
      <w:r w:rsidRPr="00B02A85">
        <w:t>Les actions concernées sont les suivantes :</w:t>
      </w:r>
    </w:p>
    <w:bookmarkEnd w:id="70"/>
    <w:p w14:paraId="4021622E" w14:textId="77777777" w:rsidR="00666805" w:rsidRPr="00205A2E" w:rsidRDefault="00666805" w:rsidP="00666805">
      <w:pPr>
        <w:pStyle w:val="QBO-Puces1"/>
      </w:pPr>
      <w:r w:rsidRPr="00205A2E">
        <w:rPr>
          <w:b/>
          <w:bCs/>
        </w:rPr>
        <w:t>Action 1.3</w:t>
      </w:r>
      <w:r w:rsidRPr="00205A2E">
        <w:t xml:space="preserve"> Orienter les agriculteurs vers les leviers d’économies d’énergie adaptés à leur exploitation et développer les énergies renouvelables </w:t>
      </w:r>
    </w:p>
    <w:p w14:paraId="5BC046CA" w14:textId="77777777" w:rsidR="00666805" w:rsidRDefault="00666805" w:rsidP="00666805">
      <w:pPr>
        <w:pStyle w:val="QBO-Puces1"/>
      </w:pPr>
      <w:r w:rsidRPr="00205A2E">
        <w:rPr>
          <w:b/>
          <w:bCs/>
        </w:rPr>
        <w:t>Action 1.6</w:t>
      </w:r>
      <w:r w:rsidRPr="00205A2E">
        <w:t xml:space="preserve"> Accélérer la production de chaleur et d’électricité renouvelable et de biogaz</w:t>
      </w:r>
    </w:p>
    <w:p w14:paraId="7A68A98B" w14:textId="77777777" w:rsidR="00666805" w:rsidRPr="00205A2E" w:rsidRDefault="00666805" w:rsidP="00666805">
      <w:pPr>
        <w:pStyle w:val="QBO-Puces1"/>
      </w:pPr>
      <w:r w:rsidRPr="00205A2E">
        <w:rPr>
          <w:b/>
          <w:bCs/>
        </w:rPr>
        <w:t>Action 2.2</w:t>
      </w:r>
      <w:r w:rsidRPr="00205A2E">
        <w:t xml:space="preserve"> Développer et favoriser l’utilisation de modes alternatifs à la voiture individuelle</w:t>
      </w:r>
    </w:p>
    <w:p w14:paraId="1C3D247F" w14:textId="77777777" w:rsidR="00666805" w:rsidRPr="00205A2E" w:rsidRDefault="00666805" w:rsidP="00666805">
      <w:pPr>
        <w:pStyle w:val="QBO-Puces1"/>
      </w:pPr>
      <w:r w:rsidRPr="00205A2E">
        <w:rPr>
          <w:b/>
          <w:bCs/>
        </w:rPr>
        <w:t>Action 3.1</w:t>
      </w:r>
      <w:r w:rsidRPr="00205A2E">
        <w:t xml:space="preserve"> Accélérer la transition écologique et énergétique des bâtiments du territoire</w:t>
      </w:r>
    </w:p>
    <w:p w14:paraId="70ADDE4C" w14:textId="77777777" w:rsidR="00666805" w:rsidRPr="00205A2E" w:rsidRDefault="00666805" w:rsidP="00666805">
      <w:pPr>
        <w:pStyle w:val="QBO-Puces1"/>
      </w:pPr>
      <w:r w:rsidRPr="00205A2E">
        <w:rPr>
          <w:b/>
          <w:bCs/>
        </w:rPr>
        <w:t>Action 3.3</w:t>
      </w:r>
      <w:r w:rsidRPr="00205A2E">
        <w:t xml:space="preserve"> Réaménager, rénover et adapter les espaces liées à l’habitat</w:t>
      </w:r>
    </w:p>
    <w:p w14:paraId="5935F25C" w14:textId="77777777" w:rsidR="00666805" w:rsidRPr="00205A2E" w:rsidRDefault="00666805" w:rsidP="00666805">
      <w:pPr>
        <w:pStyle w:val="QBO-Puces1"/>
        <w:spacing w:after="240"/>
      </w:pPr>
      <w:bookmarkStart w:id="71" w:name="_Hlk176511721"/>
      <w:r w:rsidRPr="00205A2E">
        <w:rPr>
          <w:b/>
          <w:bCs/>
        </w:rPr>
        <w:t xml:space="preserve">Action </w:t>
      </w:r>
      <w:r>
        <w:rPr>
          <w:b/>
          <w:bCs/>
        </w:rPr>
        <w:t>6</w:t>
      </w:r>
      <w:r w:rsidRPr="00205A2E">
        <w:rPr>
          <w:b/>
          <w:bCs/>
        </w:rPr>
        <w:t>.3</w:t>
      </w:r>
      <w:r>
        <w:t xml:space="preserve"> </w:t>
      </w:r>
      <w:r w:rsidRPr="00205A2E">
        <w:t>Engager la transition écologique et énergétique des collectivités</w:t>
      </w:r>
    </w:p>
    <w:p w14:paraId="059F8ADE" w14:textId="77777777" w:rsidR="00666805" w:rsidRPr="00B02A85" w:rsidRDefault="00666805" w:rsidP="00666805">
      <w:pPr>
        <w:pStyle w:val="Titre3"/>
      </w:pPr>
      <w:bookmarkStart w:id="72" w:name="_Toc178258871"/>
      <w:bookmarkStart w:id="73" w:name="_Toc179277420"/>
      <w:r w:rsidRPr="00B02A85">
        <w:t>Production de déchets supplémentaires</w:t>
      </w:r>
      <w:bookmarkEnd w:id="72"/>
      <w:bookmarkEnd w:id="73"/>
    </w:p>
    <w:p w14:paraId="549F1926" w14:textId="77777777" w:rsidR="00666805" w:rsidRPr="00B02A85" w:rsidRDefault="00666805" w:rsidP="00666805">
      <w:r w:rsidRPr="00B02A85">
        <w:t>Les différentes actions qui visent à accroître la quantité de biomasse sur le territoire peuvent induire une surproduction de déchets verts. D’autres actions, fortement programmatrices de travaux peuvent générer des productions supplémentaires de déchets de chantiers. Les mesures préconisées pour ce type d’impact sont :</w:t>
      </w:r>
    </w:p>
    <w:p w14:paraId="7694B0FA" w14:textId="77777777" w:rsidR="00666805" w:rsidRPr="00B02A85" w:rsidRDefault="00666805" w:rsidP="00666805">
      <w:pPr>
        <w:pStyle w:val="QBO-Puces1"/>
      </w:pPr>
      <w:r w:rsidRPr="00B02A85">
        <w:rPr>
          <w:b/>
          <w:bCs/>
        </w:rPr>
        <w:t>Eviter</w:t>
      </w:r>
      <w:r w:rsidRPr="00B02A85">
        <w:t xml:space="preserve"> : Privilégier la réutilisation des matériaux existants lorsque l’usage du bâtiment le permet, comme la structure d’un bâtiment ;</w:t>
      </w:r>
    </w:p>
    <w:p w14:paraId="41564F6C" w14:textId="77777777" w:rsidR="00666805" w:rsidRDefault="00666805" w:rsidP="00666805">
      <w:pPr>
        <w:pStyle w:val="QBO-Puces1"/>
        <w:spacing w:after="240"/>
      </w:pPr>
      <w:r w:rsidRPr="00B02A85">
        <w:rPr>
          <w:b/>
          <w:bCs/>
        </w:rPr>
        <w:lastRenderedPageBreak/>
        <w:t>Réduire</w:t>
      </w:r>
      <w:r w:rsidRPr="00B02A85">
        <w:t xml:space="preserve"> : Etudier toutes les solutions de réutilisation/revalorisation des déchets verts, déchets de la ressource en bois (paillage, valorisation énergétique, etc.) ; recycler les matériaux usagés présents pour un autre usage.</w:t>
      </w:r>
    </w:p>
    <w:p w14:paraId="2731AB97" w14:textId="77777777" w:rsidR="00666805" w:rsidRPr="00B02A85" w:rsidRDefault="00666805" w:rsidP="00666805">
      <w:r w:rsidRPr="00B02A85">
        <w:t>Les actions concernées sont les suivantes :</w:t>
      </w:r>
    </w:p>
    <w:bookmarkEnd w:id="71"/>
    <w:p w14:paraId="37909307" w14:textId="77777777" w:rsidR="00666805" w:rsidRPr="00205A2E" w:rsidRDefault="00666805" w:rsidP="00666805">
      <w:pPr>
        <w:pStyle w:val="QBO-Puces1"/>
      </w:pPr>
      <w:r w:rsidRPr="00205A2E">
        <w:rPr>
          <w:b/>
          <w:bCs/>
        </w:rPr>
        <w:t>Action 1.7</w:t>
      </w:r>
      <w:r w:rsidRPr="00205A2E">
        <w:t xml:space="preserve"> Faire de l’agglomération un territoire d’expérimentions bois local</w:t>
      </w:r>
    </w:p>
    <w:p w14:paraId="40653ED9" w14:textId="77777777" w:rsidR="00666805" w:rsidRPr="00EF43F4" w:rsidRDefault="00666805" w:rsidP="00666805">
      <w:pPr>
        <w:pStyle w:val="QBO-Puces1"/>
      </w:pPr>
      <w:r w:rsidRPr="00EF43F4">
        <w:rPr>
          <w:b/>
          <w:bCs/>
        </w:rPr>
        <w:t>Action 2.2</w:t>
      </w:r>
      <w:r w:rsidRPr="00EF43F4">
        <w:t xml:space="preserve"> Développer et favoriser l’utilisation de modes alternatifs à la voiture individuelle</w:t>
      </w:r>
    </w:p>
    <w:p w14:paraId="0728D35E" w14:textId="77777777" w:rsidR="00666805" w:rsidRPr="00205A2E" w:rsidRDefault="00666805" w:rsidP="00666805">
      <w:pPr>
        <w:pStyle w:val="QBO-Puces1"/>
      </w:pPr>
      <w:r w:rsidRPr="00205A2E">
        <w:rPr>
          <w:b/>
          <w:bCs/>
        </w:rPr>
        <w:t>Action 3.1</w:t>
      </w:r>
      <w:r w:rsidRPr="00205A2E">
        <w:t xml:space="preserve"> Accélérer la transition écologique et énergétique des bâtiments du territoire</w:t>
      </w:r>
    </w:p>
    <w:p w14:paraId="44416A08" w14:textId="77777777" w:rsidR="00666805" w:rsidRPr="00205A2E" w:rsidRDefault="00666805" w:rsidP="00666805">
      <w:pPr>
        <w:pStyle w:val="QBO-Puces1"/>
      </w:pPr>
      <w:r w:rsidRPr="00205A2E">
        <w:rPr>
          <w:b/>
          <w:bCs/>
        </w:rPr>
        <w:t>Action 3.3</w:t>
      </w:r>
      <w:r w:rsidRPr="00205A2E">
        <w:t xml:space="preserve"> Réaménager, rénover et adapter les espaces liées à l’habitat</w:t>
      </w:r>
    </w:p>
    <w:p w14:paraId="1C8D872E" w14:textId="77777777" w:rsidR="00666805" w:rsidRPr="00205A2E" w:rsidRDefault="00666805" w:rsidP="00666805">
      <w:pPr>
        <w:pStyle w:val="QBO-Puces1"/>
        <w:spacing w:after="240"/>
      </w:pPr>
      <w:bookmarkStart w:id="74" w:name="_Hlk176511885"/>
      <w:r w:rsidRPr="00205A2E">
        <w:rPr>
          <w:b/>
          <w:bCs/>
        </w:rPr>
        <w:t xml:space="preserve">Action </w:t>
      </w:r>
      <w:r>
        <w:rPr>
          <w:b/>
          <w:bCs/>
        </w:rPr>
        <w:t>6</w:t>
      </w:r>
      <w:r w:rsidRPr="00205A2E">
        <w:rPr>
          <w:b/>
          <w:bCs/>
        </w:rPr>
        <w:t>.3</w:t>
      </w:r>
      <w:r>
        <w:t xml:space="preserve"> </w:t>
      </w:r>
      <w:r w:rsidRPr="00205A2E">
        <w:t>Engager la transition écologique et énergétique des collectivités</w:t>
      </w:r>
    </w:p>
    <w:p w14:paraId="7C87B41E" w14:textId="77777777" w:rsidR="00666805" w:rsidRPr="00B02A85" w:rsidRDefault="00666805" w:rsidP="00666805">
      <w:pPr>
        <w:pStyle w:val="Titre3"/>
      </w:pPr>
      <w:bookmarkStart w:id="75" w:name="_Toc178258872"/>
      <w:bookmarkStart w:id="76" w:name="_Toc179277421"/>
      <w:r w:rsidRPr="00B02A85">
        <w:t>Dégradation de la qualité de l’air par l’implantation de végétalisation en ville</w:t>
      </w:r>
      <w:bookmarkEnd w:id="75"/>
      <w:bookmarkEnd w:id="76"/>
    </w:p>
    <w:p w14:paraId="4AC798DA" w14:textId="06218F1D" w:rsidR="00666805" w:rsidRDefault="00666805" w:rsidP="00666805">
      <w:r w:rsidRPr="00B02A85">
        <w:t>Les projets portant sur l’intégration de la nature en ville contribuent généralement à assainir l’air. Toutefois, en l’absence de mesures d’évitement, ces projets sont susceptibles de contribuer à l’augmentation des risques allergènes, de contribuer aux émissions de polluants atmosphériques comme les Composés Organiques Volatils (COV) d’origine biogénique tel que les terpènes et enfin selon la typologie des projets à accroitre la stagnation des polluants dans les rues de type « canyon ».</w:t>
      </w:r>
    </w:p>
    <w:p w14:paraId="663FB970" w14:textId="77777777" w:rsidR="00666805" w:rsidRPr="00B02A85" w:rsidRDefault="00666805" w:rsidP="00666805">
      <w:r w:rsidRPr="00B02A85">
        <w:t>Les mesures préconisées pour ce type d’impact sont :</w:t>
      </w:r>
    </w:p>
    <w:p w14:paraId="35B9DA26" w14:textId="77777777" w:rsidR="00666805" w:rsidRDefault="00666805" w:rsidP="00666805">
      <w:pPr>
        <w:pStyle w:val="QBO-Puces1"/>
      </w:pPr>
      <w:r>
        <w:rPr>
          <w:b/>
          <w:bCs/>
        </w:rPr>
        <w:t>Eviter</w:t>
      </w:r>
      <w:r w:rsidRPr="00B02A85">
        <w:rPr>
          <w:b/>
          <w:bCs/>
        </w:rPr>
        <w:t xml:space="preserve"> </w:t>
      </w:r>
      <w:r w:rsidRPr="00B02A85">
        <w:t xml:space="preserve">: Implanter des espèces végétales ne présentant pas de risques allergènes et non émettrices de Composés Organiques Volatils (COV) biogéniques ; </w:t>
      </w:r>
    </w:p>
    <w:p w14:paraId="35F2C330" w14:textId="77777777" w:rsidR="00666805" w:rsidRPr="00B02A85" w:rsidRDefault="00666805" w:rsidP="00666805">
      <w:pPr>
        <w:pStyle w:val="QBO-Puces1"/>
        <w:spacing w:after="240"/>
      </w:pPr>
      <w:r w:rsidRPr="003D699E">
        <w:rPr>
          <w:b/>
          <w:bCs/>
        </w:rPr>
        <w:t>Réduire</w:t>
      </w:r>
      <w:r>
        <w:t> : V</w:t>
      </w:r>
      <w:r w:rsidRPr="00B02A85">
        <w:t>eiller à la bonne intégration de la végétation dans le paysage urbain (par exemple, la présence d'arbres dans les rues en canyon peut freiner la dispersion des polluants)</w:t>
      </w:r>
      <w:r>
        <w:t xml:space="preserve"> ; </w:t>
      </w:r>
      <w:r w:rsidRPr="00B02A85">
        <w:t>communiquer aux habitants les périodes allergènes et les zones/parcs des communes les plus susceptibles d’être à risque allergène</w:t>
      </w:r>
    </w:p>
    <w:p w14:paraId="3D36EB0B" w14:textId="77777777" w:rsidR="00666805" w:rsidRPr="00B02A85" w:rsidRDefault="00666805" w:rsidP="00666805">
      <w:r w:rsidRPr="00B02A85">
        <w:t>Les actions concernées sont les suivantes :</w:t>
      </w:r>
    </w:p>
    <w:p w14:paraId="7EE3E055" w14:textId="77777777" w:rsidR="00666805" w:rsidRPr="00EF43F4" w:rsidRDefault="00666805" w:rsidP="00666805">
      <w:pPr>
        <w:pStyle w:val="QBO-Puces1"/>
      </w:pPr>
      <w:r w:rsidRPr="00EF43F4">
        <w:rPr>
          <w:b/>
          <w:bCs/>
        </w:rPr>
        <w:t>Action 1.2</w:t>
      </w:r>
      <w:r w:rsidRPr="00EF43F4">
        <w:t xml:space="preserve"> Favoriser la sobriété foncière et la végétalisation dans les Zones d’Activités Economiques</w:t>
      </w:r>
    </w:p>
    <w:p w14:paraId="072206D5" w14:textId="77777777" w:rsidR="00666805" w:rsidRPr="00EF43F4" w:rsidRDefault="00666805" w:rsidP="00666805">
      <w:pPr>
        <w:pStyle w:val="QBO-Puces1"/>
      </w:pPr>
      <w:r w:rsidRPr="00EF43F4">
        <w:rPr>
          <w:b/>
          <w:bCs/>
        </w:rPr>
        <w:t>Action 1.7</w:t>
      </w:r>
      <w:r w:rsidRPr="00EF43F4">
        <w:t xml:space="preserve"> Faire de l’agglomération un territoire d’expérimentions bois local</w:t>
      </w:r>
    </w:p>
    <w:p w14:paraId="3F6CC6DC" w14:textId="77777777" w:rsidR="00666805" w:rsidRPr="00EF43F4" w:rsidRDefault="00666805" w:rsidP="00666805">
      <w:pPr>
        <w:pStyle w:val="QBO-Puces1"/>
      </w:pPr>
      <w:r w:rsidRPr="00EF43F4">
        <w:rPr>
          <w:b/>
          <w:bCs/>
        </w:rPr>
        <w:t>Action 3.3</w:t>
      </w:r>
      <w:r w:rsidRPr="00EF43F4">
        <w:t xml:space="preserve"> Réaménager, rénover et adapter les espaces liées à l’habitat</w:t>
      </w:r>
    </w:p>
    <w:p w14:paraId="4B15C993" w14:textId="77777777" w:rsidR="00666805" w:rsidRPr="00EF43F4" w:rsidRDefault="00666805" w:rsidP="00666805">
      <w:pPr>
        <w:pStyle w:val="QBO-Puces1"/>
      </w:pPr>
      <w:r w:rsidRPr="00EF43F4">
        <w:rPr>
          <w:b/>
          <w:bCs/>
        </w:rPr>
        <w:t>Action 4.1</w:t>
      </w:r>
      <w:r w:rsidRPr="00EF43F4">
        <w:t xml:space="preserve"> Accompagner les exploitations vers une agriculture toujours plus respectueuse de l’environnement</w:t>
      </w:r>
    </w:p>
    <w:p w14:paraId="1DE2FC93" w14:textId="77777777" w:rsidR="00666805" w:rsidRPr="00EF43F4" w:rsidRDefault="00666805" w:rsidP="00666805">
      <w:pPr>
        <w:pStyle w:val="QBO-Puces1"/>
      </w:pPr>
      <w:r w:rsidRPr="00EF43F4">
        <w:rPr>
          <w:b/>
          <w:bCs/>
        </w:rPr>
        <w:t xml:space="preserve">Action </w:t>
      </w:r>
      <w:r>
        <w:rPr>
          <w:b/>
          <w:bCs/>
        </w:rPr>
        <w:t>5</w:t>
      </w:r>
      <w:r w:rsidRPr="00EF43F4">
        <w:rPr>
          <w:b/>
          <w:bCs/>
        </w:rPr>
        <w:t>.2</w:t>
      </w:r>
      <w:r w:rsidRPr="00EF43F4">
        <w:t xml:space="preserve"> Préserver et renaturer les espaces naturels</w:t>
      </w:r>
    </w:p>
    <w:p w14:paraId="280043A8" w14:textId="77777777" w:rsidR="00666805" w:rsidRPr="00EF43F4" w:rsidRDefault="00666805" w:rsidP="00666805">
      <w:pPr>
        <w:pStyle w:val="QBO-Puces1"/>
        <w:spacing w:after="240"/>
      </w:pPr>
      <w:r w:rsidRPr="00EF43F4">
        <w:rPr>
          <w:b/>
          <w:bCs/>
        </w:rPr>
        <w:t xml:space="preserve">Action </w:t>
      </w:r>
      <w:r>
        <w:rPr>
          <w:b/>
          <w:bCs/>
        </w:rPr>
        <w:t>5</w:t>
      </w:r>
      <w:r w:rsidRPr="00EF43F4">
        <w:rPr>
          <w:b/>
          <w:bCs/>
        </w:rPr>
        <w:t>.3</w:t>
      </w:r>
      <w:r w:rsidRPr="00EF43F4">
        <w:t xml:space="preserve"> Désimperméabiliser et végétaliser les espaces</w:t>
      </w:r>
    </w:p>
    <w:p w14:paraId="2D305CF9" w14:textId="77777777" w:rsidR="00666805" w:rsidRPr="00B02A85" w:rsidRDefault="00666805" w:rsidP="00666805">
      <w:pPr>
        <w:pStyle w:val="Titre3"/>
      </w:pPr>
      <w:bookmarkStart w:id="77" w:name="_Toc178258873"/>
      <w:bookmarkStart w:id="78" w:name="_Toc179277422"/>
      <w:r w:rsidRPr="00B02A85">
        <w:t>Dégradation de la qualité de l’air par le développement du bois-énergie</w:t>
      </w:r>
      <w:bookmarkEnd w:id="77"/>
      <w:bookmarkEnd w:id="78"/>
    </w:p>
    <w:p w14:paraId="336B873D" w14:textId="77777777" w:rsidR="00666805" w:rsidRPr="00B02A85" w:rsidRDefault="00666805" w:rsidP="00666805">
      <w:r w:rsidRPr="00B02A85">
        <w:t>Le développement de projets d’énergies renouvelables intégrant un système de combustion (chaudières individuelles et/ou réseaux de chaleur au bois-énergie) est susceptible de contribuer à la dégradation de la qualité de l’air du fait des émissions de particules fines (PM</w:t>
      </w:r>
      <w:r w:rsidRPr="00B02A85">
        <w:rPr>
          <w:vertAlign w:val="subscript"/>
        </w:rPr>
        <w:t xml:space="preserve">2,5 </w:t>
      </w:r>
      <w:r w:rsidRPr="00B02A85">
        <w:t>et PM</w:t>
      </w:r>
      <w:r w:rsidRPr="00B02A85">
        <w:rPr>
          <w:vertAlign w:val="subscript"/>
        </w:rPr>
        <w:t>10</w:t>
      </w:r>
      <w:r w:rsidRPr="00B02A85">
        <w:t>), de composés organiques volatils non méthaniques (COVNM) et d’autres polluants (dont les Hydrocarbures Aromatiques Polycycliques - HAP) qu’il induit.</w:t>
      </w:r>
    </w:p>
    <w:p w14:paraId="3F2FED47" w14:textId="77777777" w:rsidR="00666805" w:rsidRPr="00B02A85" w:rsidRDefault="00666805" w:rsidP="00666805">
      <w:r w:rsidRPr="00B02A85">
        <w:t>En l’absence de mesures d’évitement ou de réduction, le développement des projets d’énergies renouvelables avec source de combustion pourrait dégrader la qualité de l’air. Les mesures préconisées pour ce type d’impact sont :</w:t>
      </w:r>
    </w:p>
    <w:p w14:paraId="2CAE8686" w14:textId="77777777" w:rsidR="00666805" w:rsidRPr="00B02A85" w:rsidRDefault="00666805" w:rsidP="00666805">
      <w:pPr>
        <w:pStyle w:val="QBO-Puces1"/>
      </w:pPr>
      <w:r w:rsidRPr="00B02A85">
        <w:rPr>
          <w:b/>
          <w:bCs/>
        </w:rPr>
        <w:t>Eviter</w:t>
      </w:r>
      <w:r w:rsidRPr="00B02A85">
        <w:t xml:space="preserve"> : Privilégier l’usage de sources d’énergies renouvelables sans combustion, permettant ainsi de limiter la contribution aux émissions de polluants atmosphériques ;</w:t>
      </w:r>
    </w:p>
    <w:p w14:paraId="3E6B9254" w14:textId="77777777" w:rsidR="00666805" w:rsidRPr="00B02A85" w:rsidRDefault="00666805" w:rsidP="00666805">
      <w:pPr>
        <w:pStyle w:val="QBO-Puces1"/>
      </w:pPr>
      <w:r w:rsidRPr="00B02A85">
        <w:rPr>
          <w:b/>
          <w:bCs/>
        </w:rPr>
        <w:t>Réduire</w:t>
      </w:r>
      <w:r w:rsidRPr="00B02A85">
        <w:t xml:space="preserve"> : Pour le remplacement des installations de chauffage par des installations au bois-énergie, privilégier le remplacement par des équipements performants (par exemple les </w:t>
      </w:r>
      <w:r w:rsidRPr="00B02A85">
        <w:lastRenderedPageBreak/>
        <w:t>installations labellisées Flamme Verte par l’ADEME), et privilégier également l’utilisation d’un combustible sec).</w:t>
      </w:r>
    </w:p>
    <w:p w14:paraId="3FD97D94" w14:textId="77777777" w:rsidR="00666805" w:rsidRPr="00B02A85" w:rsidRDefault="00666805" w:rsidP="00666805">
      <w:pPr>
        <w:spacing w:before="240"/>
      </w:pPr>
      <w:r w:rsidRPr="00B02A85">
        <w:t>Les actions concernées sont les suivantes :</w:t>
      </w:r>
    </w:p>
    <w:p w14:paraId="15B3612C" w14:textId="77777777" w:rsidR="00666805" w:rsidRPr="00EF43F4" w:rsidRDefault="00666805" w:rsidP="00666805">
      <w:pPr>
        <w:pStyle w:val="QBO-Puces1"/>
      </w:pPr>
      <w:bookmarkStart w:id="79" w:name="_Hlk178264031"/>
      <w:r w:rsidRPr="00EF43F4">
        <w:rPr>
          <w:b/>
          <w:bCs/>
        </w:rPr>
        <w:t>Action 1.7</w:t>
      </w:r>
      <w:r w:rsidRPr="00EF43F4">
        <w:t xml:space="preserve"> Faire de l’agglomération un territoire d’expérimentions bois local</w:t>
      </w:r>
    </w:p>
    <w:p w14:paraId="1DA396A0" w14:textId="77777777" w:rsidR="00666805" w:rsidRPr="00EF43F4" w:rsidRDefault="00666805" w:rsidP="00666805">
      <w:pPr>
        <w:pStyle w:val="QBO-Puces1"/>
      </w:pPr>
      <w:r w:rsidRPr="00EF43F4">
        <w:rPr>
          <w:b/>
          <w:bCs/>
        </w:rPr>
        <w:t>Action 2.3</w:t>
      </w:r>
      <w:r w:rsidRPr="00EF43F4">
        <w:t xml:space="preserve"> Favoriser les énergies alternatives pour les motorisations de la flotte de véhicules des entreprises et des transports en commun</w:t>
      </w:r>
    </w:p>
    <w:p w14:paraId="27D63019" w14:textId="77777777" w:rsidR="00666805" w:rsidRPr="00EF43F4" w:rsidRDefault="00666805" w:rsidP="00666805">
      <w:pPr>
        <w:pStyle w:val="QBO-Puces1"/>
      </w:pPr>
      <w:r w:rsidRPr="00EF43F4">
        <w:rPr>
          <w:b/>
          <w:bCs/>
        </w:rPr>
        <w:t>Action 3.1</w:t>
      </w:r>
      <w:r w:rsidRPr="00EF43F4">
        <w:t xml:space="preserve"> Accélérer la transition écologique et énergétique des bâtiments du territoire</w:t>
      </w:r>
    </w:p>
    <w:p w14:paraId="5EFFFCDB" w14:textId="77777777" w:rsidR="00666805" w:rsidRPr="00EF43F4" w:rsidRDefault="00666805" w:rsidP="00666805">
      <w:pPr>
        <w:pStyle w:val="QBO-Puces1"/>
      </w:pPr>
      <w:r w:rsidRPr="00EF43F4">
        <w:rPr>
          <w:b/>
          <w:bCs/>
        </w:rPr>
        <w:t>Action 3.3</w:t>
      </w:r>
      <w:r w:rsidRPr="00EF43F4">
        <w:t xml:space="preserve"> Réaménager, rénover et adapter les espaces liées à l’habitat</w:t>
      </w:r>
    </w:p>
    <w:p w14:paraId="1D944C3B" w14:textId="77777777" w:rsidR="00666805" w:rsidRPr="00EF43F4" w:rsidRDefault="00666805" w:rsidP="00666805">
      <w:pPr>
        <w:pStyle w:val="QBO-Puces1"/>
      </w:pPr>
      <w:r w:rsidRPr="00EF43F4">
        <w:rPr>
          <w:b/>
          <w:bCs/>
        </w:rPr>
        <w:t xml:space="preserve">Action </w:t>
      </w:r>
      <w:r>
        <w:rPr>
          <w:b/>
          <w:bCs/>
        </w:rPr>
        <w:t>6</w:t>
      </w:r>
      <w:r w:rsidRPr="00EF43F4">
        <w:rPr>
          <w:b/>
          <w:bCs/>
        </w:rPr>
        <w:t>.2</w:t>
      </w:r>
      <w:r w:rsidRPr="00EF43F4">
        <w:t xml:space="preserve"> Favoriser les énergies alternatives pour les motorisations de la flotte de véhicules de la collectivité</w:t>
      </w:r>
    </w:p>
    <w:p w14:paraId="5D3D31C6" w14:textId="77777777" w:rsidR="00666805" w:rsidRPr="00EF43F4" w:rsidRDefault="00666805" w:rsidP="00666805">
      <w:pPr>
        <w:pStyle w:val="QBO-Puces1"/>
        <w:spacing w:after="240"/>
      </w:pPr>
      <w:r w:rsidRPr="00EF43F4">
        <w:rPr>
          <w:b/>
          <w:bCs/>
        </w:rPr>
        <w:t xml:space="preserve">Action </w:t>
      </w:r>
      <w:r>
        <w:rPr>
          <w:b/>
          <w:bCs/>
        </w:rPr>
        <w:t>6</w:t>
      </w:r>
      <w:r w:rsidRPr="00EF43F4">
        <w:rPr>
          <w:b/>
          <w:bCs/>
        </w:rPr>
        <w:t>.3</w:t>
      </w:r>
      <w:r w:rsidRPr="00EF43F4">
        <w:t xml:space="preserve"> Engager la transition écologique et énergétique des collectivités</w:t>
      </w:r>
    </w:p>
    <w:p w14:paraId="0FAB5791" w14:textId="77777777" w:rsidR="00666805" w:rsidRPr="00B02A85" w:rsidRDefault="00666805" w:rsidP="00666805">
      <w:pPr>
        <w:pStyle w:val="Titre3"/>
      </w:pPr>
      <w:bookmarkStart w:id="80" w:name="_Toc178258874"/>
      <w:bookmarkStart w:id="81" w:name="_Toc179277423"/>
      <w:bookmarkEnd w:id="79"/>
      <w:r w:rsidRPr="00B02A85">
        <w:t>Augmentation des déplacements liés au développement des circuits-courts</w:t>
      </w:r>
      <w:bookmarkEnd w:id="80"/>
      <w:bookmarkEnd w:id="81"/>
    </w:p>
    <w:p w14:paraId="3B4B18F6" w14:textId="77777777" w:rsidR="00666805" w:rsidRPr="00B02A85" w:rsidRDefault="00666805" w:rsidP="00666805">
      <w:r w:rsidRPr="00B02A85">
        <w:t>L’ADEME, au travers d’une de ses études</w:t>
      </w:r>
      <w:r w:rsidRPr="00B02A85">
        <w:rPr>
          <w:rStyle w:val="Appelnotedebasdep"/>
        </w:rPr>
        <w:footnoteReference w:id="5"/>
      </w:r>
      <w:r w:rsidRPr="00B02A85">
        <w:t xml:space="preserve"> a mis en avant le risque que pouvait avoir les circuits-courts sur les consommations d’énergie et les émissions de GES par une augmentation des transports. Les mesures préconisées pour ce type d’impact sont :</w:t>
      </w:r>
    </w:p>
    <w:p w14:paraId="4B09738D" w14:textId="77777777" w:rsidR="00666805" w:rsidRPr="00EF43F4" w:rsidRDefault="00666805" w:rsidP="00666805">
      <w:pPr>
        <w:pStyle w:val="Paragraphedeliste"/>
        <w:numPr>
          <w:ilvl w:val="0"/>
          <w:numId w:val="42"/>
        </w:numPr>
        <w:spacing w:after="160"/>
      </w:pPr>
      <w:r w:rsidRPr="00B02A85">
        <w:rPr>
          <w:b/>
          <w:bCs/>
        </w:rPr>
        <w:t>Réduire</w:t>
      </w:r>
      <w:r w:rsidRPr="00B02A85">
        <w:rPr>
          <w:rFonts w:hint="eastAsia"/>
        </w:rPr>
        <w:t> </w:t>
      </w:r>
      <w:r w:rsidRPr="00B02A85">
        <w:t>: Optimiser la logistique (adéquation entre le moyen de transport et le volume transporté, optimisation du circuit de livraison, remplissage du camion, véhicules « propres », rapprocher les lieux de distribution au plus près des consommateurs ou encore regrouper les points de distribution) et sensibiliser le consommateur pour limiter les transports.</w:t>
      </w:r>
      <w:r>
        <w:t xml:space="preserve"> Promouvoir </w:t>
      </w:r>
      <w:r w:rsidRPr="00EF43F4">
        <w:t>l’utilisation de vélos cargo pour les livraisons courtes distances en milieu urbain. Utiliser des technologies de gestion logistique pour optimiser les itinéraires et les horaires de livraison en temps réel.</w:t>
      </w:r>
    </w:p>
    <w:p w14:paraId="44A2CE6D" w14:textId="77777777" w:rsidR="00666805" w:rsidRPr="00EF43F4" w:rsidRDefault="00666805" w:rsidP="00666805">
      <w:r w:rsidRPr="00EF43F4">
        <w:t>Les actions concernées sont les suivantes :</w:t>
      </w:r>
    </w:p>
    <w:p w14:paraId="34D5FC26" w14:textId="77777777" w:rsidR="00666805" w:rsidRPr="00EF43F4" w:rsidRDefault="00666805" w:rsidP="00666805">
      <w:pPr>
        <w:pStyle w:val="QBO-Puces1"/>
      </w:pPr>
      <w:bookmarkStart w:id="82" w:name="_Hlk178264149"/>
      <w:r w:rsidRPr="00EF43F4">
        <w:rPr>
          <w:b/>
          <w:bCs/>
        </w:rPr>
        <w:t>Action 1.4</w:t>
      </w:r>
      <w:r w:rsidRPr="00EF43F4">
        <w:t xml:space="preserve"> Réduire la quantité de déchets sur le territoire et développer l’économie circulaire</w:t>
      </w:r>
    </w:p>
    <w:p w14:paraId="1036FB66" w14:textId="77777777" w:rsidR="00666805" w:rsidRPr="00EF43F4" w:rsidRDefault="00666805" w:rsidP="00666805">
      <w:pPr>
        <w:pStyle w:val="QBO-Puces1"/>
      </w:pPr>
      <w:r w:rsidRPr="00EF43F4">
        <w:rPr>
          <w:b/>
          <w:bCs/>
        </w:rPr>
        <w:t>Action 2.6</w:t>
      </w:r>
      <w:r w:rsidRPr="00EF43F4">
        <w:t xml:space="preserve"> Mettre en place la logistique urbaine durable</w:t>
      </w:r>
    </w:p>
    <w:p w14:paraId="2857375F" w14:textId="77777777" w:rsidR="00666805" w:rsidRPr="00EF43F4" w:rsidRDefault="00666805" w:rsidP="00666805">
      <w:pPr>
        <w:pStyle w:val="QBO-Puces1"/>
        <w:spacing w:after="240"/>
      </w:pPr>
      <w:r w:rsidRPr="00EF43F4">
        <w:rPr>
          <w:b/>
          <w:bCs/>
        </w:rPr>
        <w:t>Action 4.2</w:t>
      </w:r>
      <w:r w:rsidRPr="00EF43F4">
        <w:t xml:space="preserve"> Rapprocher les producteurs des lieux de consommations et des besoins alimentaires / Développer les circuits-courts</w:t>
      </w:r>
    </w:p>
    <w:p w14:paraId="34F3FDA5" w14:textId="77777777" w:rsidR="00666805" w:rsidRPr="00EF43F4" w:rsidRDefault="00666805" w:rsidP="00666805">
      <w:pPr>
        <w:pStyle w:val="Titre3"/>
      </w:pPr>
      <w:bookmarkStart w:id="83" w:name="_Toc178258875"/>
      <w:bookmarkStart w:id="84" w:name="_Toc179277424"/>
      <w:bookmarkEnd w:id="82"/>
      <w:r w:rsidRPr="00EF43F4">
        <w:t>Augmentation des déplacements liés aux infrastructures de production d’énergies renouvelables et de récupération</w:t>
      </w:r>
      <w:bookmarkEnd w:id="83"/>
      <w:bookmarkEnd w:id="84"/>
    </w:p>
    <w:p w14:paraId="0F567D62" w14:textId="77777777" w:rsidR="00666805" w:rsidRPr="00B02A85" w:rsidRDefault="00666805" w:rsidP="00666805">
      <w:r w:rsidRPr="00EF43F4">
        <w:t>L’essor des installations</w:t>
      </w:r>
      <w:r w:rsidRPr="00B02A85">
        <w:t xml:space="preserve"> de production d’énergies renouvelables et de récupération (panneaux solaires, éoliennes, méthaniseurs, etc.) peut entrainer un risque d’augmentation des déplacements pour leur installation ainsi que leur entretien, entrainant une augmentation des consommations d’énergie et d’émissions de GES. Les mesures préconisées pour ce type d’impact sont :  </w:t>
      </w:r>
    </w:p>
    <w:p w14:paraId="0414D54C" w14:textId="77777777" w:rsidR="00666805" w:rsidRDefault="00666805" w:rsidP="00666805">
      <w:pPr>
        <w:pStyle w:val="Paragraphedeliste"/>
        <w:numPr>
          <w:ilvl w:val="0"/>
          <w:numId w:val="42"/>
        </w:numPr>
        <w:spacing w:after="160"/>
      </w:pPr>
      <w:r w:rsidRPr="00805CA7">
        <w:rPr>
          <w:rFonts w:hint="cs"/>
          <w:b/>
          <w:bCs/>
        </w:rPr>
        <w:t>R</w:t>
      </w:r>
      <w:r w:rsidRPr="00805CA7">
        <w:rPr>
          <w:b/>
          <w:bCs/>
        </w:rPr>
        <w:t>é</w:t>
      </w:r>
      <w:r w:rsidRPr="00805CA7">
        <w:rPr>
          <w:rFonts w:hint="cs"/>
          <w:b/>
          <w:bCs/>
        </w:rPr>
        <w:t>duire</w:t>
      </w:r>
      <w:r w:rsidRPr="00863AF0">
        <w:rPr>
          <w:rFonts w:hint="cs"/>
        </w:rPr>
        <w:t> :</w:t>
      </w:r>
      <w:r w:rsidRPr="00863AF0">
        <w:t xml:space="preserve"> Optimiser la logistique pour l’installation (mise en place de gros équipements permettant de réduire le nombre de trajets à réaliser, optimisation du circuit de livraison des équipements, utilisation de véhicules bas carbone), rapprocher les lieux de production des installations, des sites d’installation, optimiser l’entretien des engins (circuit d’entretien mutualisé entre plusieurs sites, etc.) et sensibiliser les professionnels d</w:t>
      </w:r>
      <w:r>
        <w:t xml:space="preserve">u transport de fret </w:t>
      </w:r>
      <w:r w:rsidRPr="00863AF0">
        <w:t>(véhicule bas carbone, écoconduite).</w:t>
      </w:r>
    </w:p>
    <w:p w14:paraId="2E477D08" w14:textId="77777777" w:rsidR="00666805" w:rsidRDefault="00666805" w:rsidP="00666805">
      <w:pPr>
        <w:pStyle w:val="Paragraphedeliste"/>
        <w:numPr>
          <w:ilvl w:val="0"/>
          <w:numId w:val="42"/>
        </w:numPr>
        <w:spacing w:after="160"/>
      </w:pPr>
      <w:r w:rsidRPr="00805CA7">
        <w:rPr>
          <w:b/>
          <w:bCs/>
        </w:rPr>
        <w:t>Compenser </w:t>
      </w:r>
      <w:r w:rsidRPr="00B02A85">
        <w:t>:</w:t>
      </w:r>
      <w:r w:rsidRPr="00863AF0">
        <w:t xml:space="preserve"> Les sociétés installant les équipements de production d’énergie peuvent compenser les émissions de GES relâchées par l’acheminement de ces derniers en étant obligé de planter un certain nombre d’arbres ou de restaurer des milieux naturels (haies, mares, etc.)</w:t>
      </w:r>
      <w:r>
        <w:t>.</w:t>
      </w:r>
    </w:p>
    <w:p w14:paraId="07946D22" w14:textId="77777777" w:rsidR="00666805" w:rsidRPr="0059707F" w:rsidRDefault="00666805" w:rsidP="00666805">
      <w:r w:rsidRPr="0059707F">
        <w:lastRenderedPageBreak/>
        <w:t>Les actions concernées sont les suivantes :</w:t>
      </w:r>
    </w:p>
    <w:p w14:paraId="642B60EE" w14:textId="77777777" w:rsidR="00666805" w:rsidRDefault="00666805" w:rsidP="00666805">
      <w:pPr>
        <w:pStyle w:val="QBO-Puces1"/>
      </w:pPr>
      <w:bookmarkStart w:id="85" w:name="_Hlk178264103"/>
      <w:r w:rsidRPr="00EF43F4">
        <w:rPr>
          <w:b/>
          <w:bCs/>
        </w:rPr>
        <w:t>Action 1.3</w:t>
      </w:r>
      <w:r w:rsidRPr="00EF43F4">
        <w:t xml:space="preserve"> Orienter les agriculteurs vers les leviers d’économies d’énergie adaptés à leur exploitation et développer les énergies renouvelables </w:t>
      </w:r>
    </w:p>
    <w:p w14:paraId="6F327169" w14:textId="77777777" w:rsidR="00666805" w:rsidRDefault="00666805" w:rsidP="00666805">
      <w:pPr>
        <w:pStyle w:val="QBO-Puces1"/>
      </w:pPr>
      <w:r w:rsidRPr="00EF43F4">
        <w:rPr>
          <w:b/>
          <w:bCs/>
        </w:rPr>
        <w:t>Action 1.6</w:t>
      </w:r>
      <w:r w:rsidRPr="00EF43F4">
        <w:t xml:space="preserve"> Accélérer la production de chaleur et d’électricité renouvelable et de biogaz</w:t>
      </w:r>
    </w:p>
    <w:p w14:paraId="7D35B902" w14:textId="77777777" w:rsidR="00666805" w:rsidRPr="00EF43F4" w:rsidRDefault="00666805" w:rsidP="00666805">
      <w:pPr>
        <w:pStyle w:val="QBO-Puces1"/>
      </w:pPr>
      <w:r w:rsidRPr="00EF43F4">
        <w:rPr>
          <w:b/>
          <w:bCs/>
        </w:rPr>
        <w:t>Action 1.7</w:t>
      </w:r>
      <w:r w:rsidRPr="00EF43F4">
        <w:t xml:space="preserve"> Faire de l’agglomération un territoire d’expérimentions bois local</w:t>
      </w:r>
    </w:p>
    <w:p w14:paraId="11078946" w14:textId="77777777" w:rsidR="00666805" w:rsidRPr="00EF43F4" w:rsidRDefault="00666805" w:rsidP="00666805">
      <w:pPr>
        <w:pStyle w:val="QBO-Puces1"/>
      </w:pPr>
      <w:r w:rsidRPr="00EF43F4">
        <w:rPr>
          <w:b/>
          <w:bCs/>
        </w:rPr>
        <w:t>Action 3.1</w:t>
      </w:r>
      <w:r w:rsidRPr="00EF43F4">
        <w:t xml:space="preserve"> Accélérer la transition écologique et énergétique des bâtiments du territoire</w:t>
      </w:r>
    </w:p>
    <w:p w14:paraId="692A0C88" w14:textId="77777777" w:rsidR="00666805" w:rsidRPr="00EF43F4" w:rsidRDefault="00666805" w:rsidP="00666805">
      <w:pPr>
        <w:pStyle w:val="QBO-Puces1"/>
      </w:pPr>
      <w:r w:rsidRPr="00EF43F4">
        <w:rPr>
          <w:b/>
          <w:bCs/>
        </w:rPr>
        <w:t xml:space="preserve">Action </w:t>
      </w:r>
      <w:r>
        <w:rPr>
          <w:b/>
          <w:bCs/>
        </w:rPr>
        <w:t>6</w:t>
      </w:r>
      <w:r w:rsidRPr="00EF43F4">
        <w:rPr>
          <w:b/>
          <w:bCs/>
        </w:rPr>
        <w:t>.3</w:t>
      </w:r>
      <w:r w:rsidRPr="00EF43F4">
        <w:t xml:space="preserve"> Engager la transition écologique et énergétique des collectivités</w:t>
      </w:r>
    </w:p>
    <w:p w14:paraId="0D2FAFE6" w14:textId="77777777" w:rsidR="00666805" w:rsidRPr="00B02A85" w:rsidRDefault="00666805" w:rsidP="00666805">
      <w:pPr>
        <w:pStyle w:val="Titre3"/>
      </w:pPr>
      <w:bookmarkStart w:id="86" w:name="_Toc178258876"/>
      <w:bookmarkStart w:id="87" w:name="_Toc179277425"/>
      <w:bookmarkEnd w:id="85"/>
      <w:r w:rsidRPr="00B02A85">
        <w:t>Disparition de terres agricoles au profit du développement du bioGNV et du biogaz</w:t>
      </w:r>
      <w:bookmarkEnd w:id="86"/>
      <w:bookmarkEnd w:id="87"/>
    </w:p>
    <w:p w14:paraId="797BD302" w14:textId="77777777" w:rsidR="00666805" w:rsidRPr="00B02A85" w:rsidRDefault="00666805" w:rsidP="00666805">
      <w:r w:rsidRPr="00B02A85">
        <w:t>L’essor de la méthanisation sur le territoire pourrait entraîner le retournement de prairies permanentes afin de produire des cultures dites « énergétiques » ainsi que des espaces agricoles réservées à ces cultures dites « énergétiques</w:t>
      </w:r>
      <w:r>
        <w:t>.</w:t>
      </w:r>
      <w:r w:rsidRPr="00B02A85">
        <w:t> »</w:t>
      </w:r>
      <w:r>
        <w:t xml:space="preserve"> </w:t>
      </w:r>
      <w:r w:rsidRPr="00B02A85">
        <w:t>Ces cultures viseraient à alimenter les unités de méthanisation, ces dernières pouvant également avoir des impacts en matière d’artificialisation de terres agricoles</w:t>
      </w:r>
      <w:r>
        <w:t>.</w:t>
      </w:r>
      <w:r w:rsidRPr="00B02A85">
        <w:t xml:space="preserve"> Les mesures préconisées pour ce type d’impact sont :</w:t>
      </w:r>
    </w:p>
    <w:p w14:paraId="1E5AE65F" w14:textId="77777777" w:rsidR="00666805" w:rsidRPr="00B02A85" w:rsidRDefault="00666805" w:rsidP="00666805">
      <w:pPr>
        <w:pStyle w:val="Paragraphedeliste"/>
        <w:numPr>
          <w:ilvl w:val="0"/>
          <w:numId w:val="41"/>
        </w:numPr>
        <w:spacing w:after="160"/>
        <w:ind w:left="1440"/>
      </w:pPr>
      <w:r w:rsidRPr="00B02A85">
        <w:rPr>
          <w:b/>
          <w:bCs/>
        </w:rPr>
        <w:t>Eviter</w:t>
      </w:r>
      <w:r w:rsidRPr="00B02A85">
        <w:rPr>
          <w:rFonts w:hint="eastAsia"/>
        </w:rPr>
        <w:t> </w:t>
      </w:r>
      <w:r w:rsidRPr="00B02A85">
        <w:t>: Interdire le retournement des prairies permanentes.</w:t>
      </w:r>
    </w:p>
    <w:p w14:paraId="20447AB1" w14:textId="77777777" w:rsidR="00666805" w:rsidRPr="00B02A85" w:rsidRDefault="00666805" w:rsidP="00666805">
      <w:pPr>
        <w:pStyle w:val="Paragraphedeliste"/>
        <w:numPr>
          <w:ilvl w:val="0"/>
          <w:numId w:val="41"/>
        </w:numPr>
        <w:spacing w:after="160"/>
        <w:ind w:left="1440"/>
      </w:pPr>
      <w:r w:rsidRPr="00B02A85">
        <w:rPr>
          <w:b/>
          <w:bCs/>
        </w:rPr>
        <w:t>Réduire </w:t>
      </w:r>
      <w:r w:rsidRPr="00B02A85">
        <w:t>: Donner une surface maximale à ne pas dépasser sur le territoire pour des cultures intermédiaires à vocation énergétique (</w:t>
      </w:r>
      <w:r>
        <w:t>CIVE</w:t>
      </w:r>
      <w:r w:rsidRPr="00B02A85">
        <w:t>)</w:t>
      </w:r>
      <w:r>
        <w:t>.</w:t>
      </w:r>
      <w:r w:rsidRPr="00B02A85">
        <w:t xml:space="preserve"> Réduire (15% actuellement selon l’arrêté du 13 octobre 2020 relatif aux prescriptions générales applicables aux installations de méthanisation) la part maximale de culture intermédiaire à vocation énergétique pouvant être utilisée dans un méthaniseur.</w:t>
      </w:r>
    </w:p>
    <w:p w14:paraId="7E23AA45" w14:textId="77777777" w:rsidR="00666805" w:rsidRDefault="00666805" w:rsidP="00666805">
      <w:pPr>
        <w:pStyle w:val="Paragraphedeliste"/>
        <w:numPr>
          <w:ilvl w:val="0"/>
          <w:numId w:val="41"/>
        </w:numPr>
        <w:spacing w:after="160"/>
        <w:ind w:left="1440"/>
      </w:pPr>
      <w:r w:rsidRPr="00B02A85">
        <w:rPr>
          <w:b/>
          <w:bCs/>
        </w:rPr>
        <w:t>Compenser </w:t>
      </w:r>
      <w:r w:rsidRPr="00B02A85">
        <w:t>: Dans le cas de retournement, veiller à réimplanter une prairie de taille à minima équivalente ailleurs sur le territoire.</w:t>
      </w:r>
    </w:p>
    <w:p w14:paraId="39480E54" w14:textId="77777777" w:rsidR="00666805" w:rsidRPr="0059707F" w:rsidRDefault="00666805" w:rsidP="00666805">
      <w:r w:rsidRPr="0059707F">
        <w:t>Les actions concernées sont les suivantes :</w:t>
      </w:r>
    </w:p>
    <w:p w14:paraId="1C5A90B2" w14:textId="77777777" w:rsidR="00666805" w:rsidRDefault="00666805" w:rsidP="00666805">
      <w:pPr>
        <w:pStyle w:val="QBO-Puces1"/>
      </w:pPr>
      <w:bookmarkStart w:id="88" w:name="_Hlk178264190"/>
      <w:r w:rsidRPr="00EF43F4">
        <w:rPr>
          <w:b/>
          <w:bCs/>
        </w:rPr>
        <w:t>Action 1.3</w:t>
      </w:r>
      <w:r w:rsidRPr="00EF43F4">
        <w:t xml:space="preserve"> Orienter les agriculteurs vers les leviers d’économies d’énergie adaptés à leur exploitation et développer les énergies renouvelables </w:t>
      </w:r>
    </w:p>
    <w:p w14:paraId="596DD0E2" w14:textId="77777777" w:rsidR="00666805" w:rsidRDefault="00666805" w:rsidP="00666805">
      <w:pPr>
        <w:pStyle w:val="QBO-Puces1"/>
      </w:pPr>
      <w:r w:rsidRPr="00EF43F4">
        <w:rPr>
          <w:b/>
          <w:bCs/>
        </w:rPr>
        <w:t>Action 1.6</w:t>
      </w:r>
      <w:r w:rsidRPr="00EF43F4">
        <w:t xml:space="preserve"> Accélérer la production de chaleur et d’électricité renouvelable et de biogaz</w:t>
      </w:r>
    </w:p>
    <w:p w14:paraId="64F34E3C" w14:textId="77777777" w:rsidR="00666805" w:rsidRPr="00EF43F4" w:rsidRDefault="00666805" w:rsidP="00666805">
      <w:pPr>
        <w:pStyle w:val="QBO-Puces1"/>
      </w:pPr>
      <w:r w:rsidRPr="00EF43F4">
        <w:rPr>
          <w:b/>
          <w:bCs/>
        </w:rPr>
        <w:t>Action 2.3</w:t>
      </w:r>
      <w:r w:rsidRPr="00EF43F4">
        <w:t xml:space="preserve"> Favoriser les énergies alternatives pour les motorisations de la flotte de véhicules des entreprises et des transports en commun</w:t>
      </w:r>
    </w:p>
    <w:p w14:paraId="650D2F5B" w14:textId="77777777" w:rsidR="00666805" w:rsidRDefault="00666805" w:rsidP="00666805">
      <w:pPr>
        <w:pStyle w:val="QBO-Puces1"/>
      </w:pPr>
      <w:r w:rsidRPr="00EF43F4">
        <w:rPr>
          <w:b/>
          <w:bCs/>
        </w:rPr>
        <w:t xml:space="preserve">Action </w:t>
      </w:r>
      <w:r>
        <w:rPr>
          <w:b/>
          <w:bCs/>
        </w:rPr>
        <w:t>6</w:t>
      </w:r>
      <w:r w:rsidRPr="00EF43F4">
        <w:rPr>
          <w:b/>
          <w:bCs/>
        </w:rPr>
        <w:t>.2</w:t>
      </w:r>
      <w:r w:rsidRPr="00EF43F4">
        <w:t xml:space="preserve"> Favoriser les énergies alternatives pour les motorisations de la flotte de véhicules de la collectivité</w:t>
      </w:r>
      <w:bookmarkStart w:id="89" w:name="_Toc90475140"/>
    </w:p>
    <w:p w14:paraId="45DEB4EA" w14:textId="77777777" w:rsidR="00666805" w:rsidRPr="00B02A85" w:rsidRDefault="00666805" w:rsidP="00666805">
      <w:pPr>
        <w:pStyle w:val="Titre3"/>
      </w:pPr>
      <w:bookmarkStart w:id="90" w:name="_Toc178258877"/>
      <w:bookmarkStart w:id="91" w:name="_Toc179277426"/>
      <w:bookmarkEnd w:id="88"/>
      <w:r w:rsidRPr="00B02A85">
        <w:t>Risque de dégradation de la qualité des eaux et des sols et/ou de l’air liée à l’épandage de digestat</w:t>
      </w:r>
      <w:bookmarkEnd w:id="89"/>
      <w:bookmarkEnd w:id="90"/>
      <w:bookmarkEnd w:id="91"/>
      <w:r w:rsidRPr="00B02A85">
        <w:t> </w:t>
      </w:r>
    </w:p>
    <w:p w14:paraId="0BCF3C58" w14:textId="77777777" w:rsidR="00666805" w:rsidRPr="00B02A85" w:rsidRDefault="00666805" w:rsidP="00666805">
      <w:bookmarkStart w:id="92" w:name="_Toc90475141"/>
      <w:r w:rsidRPr="00B02A85">
        <w:t>Dans le cas d’une mauvaise qualité agronomique et/ou sanitaire du digestat, l’épandage peut entrainer une dégradation de l’environnement (eau, sol, air). Les mesures préconisées pour ce type d’impact sont :</w:t>
      </w:r>
    </w:p>
    <w:p w14:paraId="284AAC73" w14:textId="77777777" w:rsidR="00666805" w:rsidRPr="00B02A85" w:rsidRDefault="00666805" w:rsidP="00666805">
      <w:pPr>
        <w:pStyle w:val="Paragraphedeliste"/>
        <w:numPr>
          <w:ilvl w:val="0"/>
          <w:numId w:val="41"/>
        </w:numPr>
        <w:spacing w:after="160"/>
        <w:ind w:left="1440"/>
      </w:pPr>
      <w:r w:rsidRPr="00B02A85">
        <w:rPr>
          <w:b/>
          <w:bCs/>
        </w:rPr>
        <w:t>Eviter</w:t>
      </w:r>
      <w:r w:rsidRPr="00B02A85">
        <w:rPr>
          <w:rFonts w:hint="eastAsia"/>
        </w:rPr>
        <w:t> </w:t>
      </w:r>
      <w:r w:rsidRPr="00B02A85">
        <w:t xml:space="preserve">: Considérer la problématique digestat en amont des projets. Surveiller la qualité des différentes natures d’intrants et les conditions de températures et de pH lors des étapes de digestion. Veiller à la bonne couverture et ventilation des fosses de stockage. Contrôler la bonne qualité agronomique et sanitaire du digestat avant épandage. Ne pas autoriser d’épandage des digestats dans le périmètre du Plan Algues Vertes. </w:t>
      </w:r>
    </w:p>
    <w:p w14:paraId="53C67F42" w14:textId="77777777" w:rsidR="00666805" w:rsidRPr="00B02A85" w:rsidRDefault="00666805" w:rsidP="00666805">
      <w:pPr>
        <w:pStyle w:val="Paragraphedeliste"/>
        <w:numPr>
          <w:ilvl w:val="0"/>
          <w:numId w:val="41"/>
        </w:numPr>
        <w:spacing w:after="160"/>
        <w:ind w:left="1440"/>
      </w:pPr>
      <w:r w:rsidRPr="00B02A85">
        <w:rPr>
          <w:b/>
          <w:bCs/>
        </w:rPr>
        <w:t>Réduire</w:t>
      </w:r>
      <w:r w:rsidRPr="00B02A85">
        <w:t> : Privilégier les méthodes d’épandage limitant l’émission d’ammoniac dans l’air (pendillard ou enfouissement par exemple), avec un épandage moderne permettant une distribution uniforme et précise du digestat</w:t>
      </w:r>
      <w:r>
        <w:t xml:space="preserve"> ; </w:t>
      </w:r>
      <w:r w:rsidRPr="00B02A85">
        <w:t>Adapter les doses d’épandage aux besoins réels des cultures, en fonction des analyses de sol</w:t>
      </w:r>
      <w:r>
        <w:t xml:space="preserve"> ; </w:t>
      </w:r>
      <w:r w:rsidRPr="00226C45">
        <w:t>Éviter l’épandage pendant les périodes de fortes pluies, sur sol gelé, enneigé ou saturé en eau pour minimiser les risques de ruissellement et de lixiviation</w:t>
      </w:r>
      <w:r>
        <w:t xml:space="preserve"> ; </w:t>
      </w:r>
      <w:r w:rsidRPr="00B02A85">
        <w:t>Mettre en place un traitement du digestat pour séparer les fractions solides et liquides, réduisant le volume à épandre et facilitant une gestion plus ciblée des nutriments</w:t>
      </w:r>
      <w:r>
        <w:t> ;</w:t>
      </w:r>
      <w:r w:rsidRPr="00B02A85">
        <w:t xml:space="preserve"> Mettre en place un stockage approprié et vérifié du digestat (installation étanche pour éviter les fuites)</w:t>
      </w:r>
      <w:r>
        <w:t> ;</w:t>
      </w:r>
      <w:r w:rsidRPr="00B02A85">
        <w:t xml:space="preserve"> </w:t>
      </w:r>
      <w:r w:rsidRPr="00226C45">
        <w:t xml:space="preserve">Ajouter des traitements </w:t>
      </w:r>
      <w:r w:rsidRPr="00226C45">
        <w:lastRenderedPageBreak/>
        <w:t>complémentaires comme la nitrification ou la dénitrification pour réduire les émissions de gaz à effet de serre et les pertes d’azote</w:t>
      </w:r>
      <w:r>
        <w:t> ;</w:t>
      </w:r>
    </w:p>
    <w:p w14:paraId="010CEBC2" w14:textId="77777777" w:rsidR="00666805" w:rsidRDefault="00666805" w:rsidP="00666805">
      <w:pPr>
        <w:pStyle w:val="Paragraphedeliste"/>
        <w:numPr>
          <w:ilvl w:val="0"/>
          <w:numId w:val="41"/>
        </w:numPr>
        <w:spacing w:after="160"/>
        <w:ind w:left="1440"/>
      </w:pPr>
      <w:r w:rsidRPr="00B02A85">
        <w:rPr>
          <w:b/>
          <w:bCs/>
        </w:rPr>
        <w:t xml:space="preserve">Compenser : </w:t>
      </w:r>
      <w:r w:rsidRPr="00226C45">
        <w:t>Développer des zones humides artificielles ou des bassins de rétention pour traiter les eaux de ruissellement provenant des champs d'épandage, en permettant la sédimentation des particules et l’absorption des nutriments.</w:t>
      </w:r>
    </w:p>
    <w:p w14:paraId="67BD30B7" w14:textId="77777777" w:rsidR="00666805" w:rsidRPr="00962BDF" w:rsidRDefault="00666805" w:rsidP="00666805">
      <w:r w:rsidRPr="0059707F">
        <w:t xml:space="preserve">Les </w:t>
      </w:r>
      <w:r w:rsidRPr="00962BDF">
        <w:t>actions concernées sont les suivantes :</w:t>
      </w:r>
    </w:p>
    <w:p w14:paraId="6002C202" w14:textId="77777777" w:rsidR="00666805" w:rsidRPr="00962BDF" w:rsidRDefault="00666805" w:rsidP="00666805">
      <w:pPr>
        <w:pStyle w:val="QBO-Puces1"/>
      </w:pPr>
      <w:bookmarkStart w:id="93" w:name="_Hlk178264212"/>
      <w:r w:rsidRPr="00962BDF">
        <w:rPr>
          <w:b/>
          <w:bCs/>
        </w:rPr>
        <w:t>Action 1.3</w:t>
      </w:r>
      <w:r w:rsidRPr="00962BDF">
        <w:t xml:space="preserve"> Orienter les agriculteurs vers les leviers d’économies d’énergie adaptés à leur exploitation et développer les énergies renouvelables </w:t>
      </w:r>
    </w:p>
    <w:p w14:paraId="64D9B0C0" w14:textId="77777777" w:rsidR="00666805" w:rsidRPr="00962BDF" w:rsidRDefault="00666805" w:rsidP="00666805">
      <w:pPr>
        <w:pStyle w:val="QBO-Puces1"/>
      </w:pPr>
      <w:r w:rsidRPr="00962BDF">
        <w:rPr>
          <w:b/>
          <w:bCs/>
        </w:rPr>
        <w:t>Action 1.6</w:t>
      </w:r>
      <w:r w:rsidRPr="00962BDF">
        <w:t xml:space="preserve"> Accélérer la production de chaleur et d’électricité renouvelable et de biogaz</w:t>
      </w:r>
    </w:p>
    <w:p w14:paraId="0E5E906B" w14:textId="77777777" w:rsidR="00666805" w:rsidRPr="00962BDF" w:rsidRDefault="00666805" w:rsidP="00666805">
      <w:pPr>
        <w:pStyle w:val="QBO-Puces1"/>
      </w:pPr>
      <w:r w:rsidRPr="00962BDF">
        <w:rPr>
          <w:b/>
          <w:bCs/>
        </w:rPr>
        <w:t>Action 4.1</w:t>
      </w:r>
      <w:r w:rsidRPr="00962BDF">
        <w:t xml:space="preserve"> Accompagner les exploitations vers une agriculture toujours plus respectueuse de l’environnement</w:t>
      </w:r>
    </w:p>
    <w:p w14:paraId="5CD7041A" w14:textId="77777777" w:rsidR="00666805" w:rsidRPr="00B02A85" w:rsidRDefault="00666805" w:rsidP="00666805">
      <w:pPr>
        <w:pStyle w:val="Titre3"/>
        <w:jc w:val="both"/>
      </w:pPr>
      <w:bookmarkStart w:id="94" w:name="_Toc178258878"/>
      <w:bookmarkStart w:id="95" w:name="_Toc179277427"/>
      <w:bookmarkEnd w:id="93"/>
      <w:r w:rsidRPr="00962BDF">
        <w:t>Risque de dégradation</w:t>
      </w:r>
      <w:r w:rsidRPr="00B02A85">
        <w:t xml:space="preserve"> de la qualité des eaux dans le cas de fuites au sein des unités de méthanisation</w:t>
      </w:r>
      <w:bookmarkEnd w:id="92"/>
      <w:bookmarkEnd w:id="94"/>
      <w:bookmarkEnd w:id="95"/>
    </w:p>
    <w:p w14:paraId="3FC5523B" w14:textId="77777777" w:rsidR="00666805" w:rsidRPr="00B02A85" w:rsidRDefault="00666805" w:rsidP="00666805">
      <w:r w:rsidRPr="00B02A85">
        <w:t>Des fuites peuvent être observées sur les unités de méthanisation en cas de défaut de conception ou d’entretien, ou par suite d’un accident. Celles-ci peuvent entraîner une pollution localisée de la ressource en eau. Les mesures préconisées pour ce type d’impact sont :</w:t>
      </w:r>
    </w:p>
    <w:p w14:paraId="0FF073C8" w14:textId="77777777" w:rsidR="00666805" w:rsidRPr="00B02A85" w:rsidRDefault="00666805" w:rsidP="00666805">
      <w:pPr>
        <w:pStyle w:val="Paragraphedeliste"/>
        <w:numPr>
          <w:ilvl w:val="0"/>
          <w:numId w:val="41"/>
        </w:numPr>
        <w:spacing w:after="160"/>
        <w:ind w:left="1440"/>
      </w:pPr>
      <w:r w:rsidRPr="00B02A85">
        <w:rPr>
          <w:b/>
          <w:bCs/>
        </w:rPr>
        <w:t>Eviter</w:t>
      </w:r>
      <w:r w:rsidRPr="00B02A85">
        <w:rPr>
          <w:rFonts w:hint="eastAsia"/>
          <w:b/>
          <w:bCs/>
        </w:rPr>
        <w:t> </w:t>
      </w:r>
      <w:r w:rsidRPr="00B02A85">
        <w:rPr>
          <w:b/>
          <w:bCs/>
        </w:rPr>
        <w:t>:</w:t>
      </w:r>
      <w:r w:rsidRPr="00B02A85">
        <w:t xml:space="preserve"> Vérifier la bonne conception et réalisation des unités de méthanisation pour éviter toute fuite</w:t>
      </w:r>
      <w:r>
        <w:t> ;</w:t>
      </w:r>
      <w:r w:rsidRPr="00B02A85">
        <w:t xml:space="preserve"> Prévoir la maintenance des différents sites</w:t>
      </w:r>
      <w:r>
        <w:t> ;</w:t>
      </w:r>
      <w:r w:rsidRPr="00B02A85">
        <w:t xml:space="preserve"> Prévoir des dispositifs de barrières et portails étanches en cas de fuites accidentelles</w:t>
      </w:r>
      <w:r>
        <w:t> ;</w:t>
      </w:r>
      <w:r w:rsidRPr="00B02A85">
        <w:t xml:space="preserve"> Eviter l’installation de méthaniseur dans les bassins versants amont des stations d’eau potable du territoire</w:t>
      </w:r>
      <w:r>
        <w:t> ;</w:t>
      </w:r>
      <w:r w:rsidRPr="00B02A85">
        <w:t xml:space="preserve"> </w:t>
      </w:r>
      <w:r>
        <w:t>Construire des unités de méthanisation avec des matériaux étanches et résistants pour prévenir les fuites ; Installer des géomembranes sous les bassins de stockage pour éviter les infiltrations dans le sol ;</w:t>
      </w:r>
    </w:p>
    <w:p w14:paraId="16968B09" w14:textId="77777777" w:rsidR="00666805" w:rsidRPr="00226C45" w:rsidRDefault="00666805" w:rsidP="00666805">
      <w:pPr>
        <w:pStyle w:val="Paragraphedeliste"/>
        <w:numPr>
          <w:ilvl w:val="0"/>
          <w:numId w:val="41"/>
        </w:numPr>
        <w:spacing w:after="160"/>
        <w:ind w:left="1440"/>
      </w:pPr>
      <w:r w:rsidRPr="00B02A85">
        <w:rPr>
          <w:b/>
          <w:bCs/>
        </w:rPr>
        <w:t>Réduire :</w:t>
      </w:r>
      <w:r w:rsidRPr="00B02A85">
        <w:t xml:space="preserve"> </w:t>
      </w:r>
      <w:r>
        <w:t>Installer des systèmes de détection de fuites et de surveillance en temps réel pour une intervention rapide en cas de problème ; Installer des bassins de rétention ou des systèmes de secours pour contenir les effluents en cas de fuite ; Mettre en place des systèmes de traitement des eaux usées pour purifier les éventuels effluents avant qu’ils ne pénètrent dans l’environnement ; Former le personnel à la gestion des risques et aux procédures d’urgence pour minimiser les erreurs humaines ;</w:t>
      </w:r>
    </w:p>
    <w:p w14:paraId="2860A7C5" w14:textId="77777777" w:rsidR="00666805" w:rsidRDefault="00666805" w:rsidP="00666805">
      <w:pPr>
        <w:pStyle w:val="Paragraphedeliste"/>
        <w:numPr>
          <w:ilvl w:val="0"/>
          <w:numId w:val="41"/>
        </w:numPr>
        <w:spacing w:after="160"/>
        <w:ind w:left="1440"/>
      </w:pPr>
      <w:r w:rsidRPr="00B02A85">
        <w:rPr>
          <w:b/>
          <w:bCs/>
        </w:rPr>
        <w:t>Compenser :</w:t>
      </w:r>
      <w:r>
        <w:t xml:space="preserve"> En cas de pollution, engager des actions de restauration écologique des zones affectées, comme la réhabilitation des sols et des cours d’eau.</w:t>
      </w:r>
    </w:p>
    <w:p w14:paraId="1F10FFB1" w14:textId="77777777" w:rsidR="00666805" w:rsidRPr="0059707F" w:rsidRDefault="00666805" w:rsidP="00666805">
      <w:r w:rsidRPr="0059707F">
        <w:t>Les actions concernées sont les suivantes :</w:t>
      </w:r>
    </w:p>
    <w:p w14:paraId="6A2DFBF2" w14:textId="77777777" w:rsidR="00666805" w:rsidRPr="00962BDF" w:rsidRDefault="00666805" w:rsidP="00666805">
      <w:pPr>
        <w:pStyle w:val="QBO-Puces1"/>
      </w:pPr>
      <w:bookmarkStart w:id="96" w:name="_Hlk178264233"/>
      <w:r w:rsidRPr="00962BDF">
        <w:rPr>
          <w:b/>
          <w:bCs/>
        </w:rPr>
        <w:t>Action 1.3</w:t>
      </w:r>
      <w:r w:rsidRPr="00962BDF">
        <w:t xml:space="preserve"> Orienter les agriculteurs vers les leviers d’économies d’énergie adaptés à leur exploitation et développer les énergies renouvelables </w:t>
      </w:r>
    </w:p>
    <w:p w14:paraId="01275A2B" w14:textId="77777777" w:rsidR="00666805" w:rsidRPr="00962BDF" w:rsidRDefault="00666805" w:rsidP="00666805">
      <w:pPr>
        <w:pStyle w:val="QBO-Puces1"/>
        <w:spacing w:after="240"/>
      </w:pPr>
      <w:r w:rsidRPr="00962BDF">
        <w:rPr>
          <w:b/>
          <w:bCs/>
        </w:rPr>
        <w:t>Action 1.6</w:t>
      </w:r>
      <w:r w:rsidRPr="00962BDF">
        <w:t xml:space="preserve"> Accélérer la production de chaleur et d’électricité renouvelable et de biogaz</w:t>
      </w:r>
    </w:p>
    <w:p w14:paraId="5DBAE2A2" w14:textId="77777777" w:rsidR="00666805" w:rsidRPr="00B02A85" w:rsidRDefault="00666805" w:rsidP="00666805">
      <w:pPr>
        <w:pStyle w:val="Titre3"/>
      </w:pPr>
      <w:bookmarkStart w:id="97" w:name="_Toc178258879"/>
      <w:bookmarkStart w:id="98" w:name="_Toc179277428"/>
      <w:bookmarkEnd w:id="96"/>
      <w:r w:rsidRPr="00B02A85">
        <w:t>Risque de dégradation de la biodiversité avec l’installation d’équipements de production d’énergies renouvelables et de récupération</w:t>
      </w:r>
      <w:bookmarkEnd w:id="97"/>
      <w:bookmarkEnd w:id="98"/>
    </w:p>
    <w:p w14:paraId="659557D6" w14:textId="77777777" w:rsidR="00666805" w:rsidRPr="00D17469" w:rsidRDefault="00666805" w:rsidP="00666805">
      <w:r w:rsidRPr="00B02A85">
        <w:t xml:space="preserve">Des fuites peuvent être observées sur les unités de méthanisation en cas de défaut de conception ou d’entretien, ou par suite d’un accident. Celles-ci peuvent entraîner une pollution localisée et impacter la biodiversité. </w:t>
      </w:r>
      <w:r w:rsidRPr="00D17469">
        <w:t>L’installation ainsi que l’utilisation des éoliennes mais également de panneaux photovoltaïques peuvent entrainer une dégradation de la biodiversité du territoire Les mesures préconisées pour ce type d’impact sont :</w:t>
      </w:r>
    </w:p>
    <w:p w14:paraId="2D57A321" w14:textId="77777777" w:rsidR="00666805" w:rsidRPr="00D17469" w:rsidRDefault="00666805" w:rsidP="00666805">
      <w:pPr>
        <w:pStyle w:val="Paragraphedeliste"/>
        <w:numPr>
          <w:ilvl w:val="0"/>
          <w:numId w:val="41"/>
        </w:numPr>
        <w:spacing w:after="160"/>
        <w:ind w:left="1440"/>
      </w:pPr>
      <w:r w:rsidRPr="00D17469">
        <w:rPr>
          <w:b/>
          <w:bCs/>
        </w:rPr>
        <w:t>Eviter</w:t>
      </w:r>
      <w:r w:rsidRPr="00D17469">
        <w:rPr>
          <w:rFonts w:hint="eastAsia"/>
        </w:rPr>
        <w:t> </w:t>
      </w:r>
      <w:r w:rsidRPr="00D17469">
        <w:t>: Vérifier la bonne conception et réalisation des unités de méthanisation pour éviter toute fuite</w:t>
      </w:r>
      <w:r>
        <w:t> ;</w:t>
      </w:r>
      <w:r w:rsidRPr="00D17469">
        <w:t xml:space="preserve"> Prévoir la maintenance des différents sites</w:t>
      </w:r>
      <w:r>
        <w:t> ;</w:t>
      </w:r>
      <w:r w:rsidRPr="00D17469">
        <w:t xml:space="preserve"> Prévoir des dispositifs de barrières et portails étanches en cas de fuites accidentelles</w:t>
      </w:r>
      <w:r>
        <w:t> ;</w:t>
      </w:r>
      <w:r w:rsidRPr="00D17469">
        <w:t xml:space="preserve"> Eviter l’installation de méthaniseur dans les bassins versants amont des stations d’eau potable</w:t>
      </w:r>
      <w:r>
        <w:t> ;</w:t>
      </w:r>
      <w:r w:rsidRPr="00D17469">
        <w:t xml:space="preserve"> Sélectionner des sites d’implantation éloignés des zones à haute valeur écologique, comme les </w:t>
      </w:r>
      <w:r w:rsidRPr="00D17469">
        <w:lastRenderedPageBreak/>
        <w:t>habitats des espèces protégées, les zones humides, les forêts anciennes, et les couloirs de migration</w:t>
      </w:r>
      <w:r>
        <w:t> ;</w:t>
      </w:r>
      <w:r w:rsidRPr="00D17469">
        <w:t xml:space="preserve"> Privilégier l’installation sur des terrains déjà dégradés et éviter les zones de nidification et les périodes critiques pour les espèces locales pendant la phase de construction ;</w:t>
      </w:r>
    </w:p>
    <w:p w14:paraId="161A0288" w14:textId="77777777" w:rsidR="00666805" w:rsidRPr="00D17469" w:rsidRDefault="00666805" w:rsidP="00666805">
      <w:pPr>
        <w:pStyle w:val="Paragraphedeliste"/>
        <w:numPr>
          <w:ilvl w:val="0"/>
          <w:numId w:val="41"/>
        </w:numPr>
        <w:spacing w:after="160"/>
        <w:ind w:left="1440"/>
      </w:pPr>
      <w:r w:rsidRPr="00D17469">
        <w:rPr>
          <w:b/>
          <w:bCs/>
        </w:rPr>
        <w:t>Réduire :</w:t>
      </w:r>
      <w:r w:rsidRPr="00D17469">
        <w:t xml:space="preserve"> Utiliser des designs d’équipements qui réduisent les impacts sur la faune, comme les éoliennes </w:t>
      </w:r>
      <w:r>
        <w:t>a</w:t>
      </w:r>
      <w:r w:rsidRPr="00D17469">
        <w:t>vec des pales plus visibles pour les oiseaux et les chauves-souris</w:t>
      </w:r>
      <w:r>
        <w:t> ;</w:t>
      </w:r>
      <w:r w:rsidRPr="00D17469">
        <w:t xml:space="preserve"> Intégrer des infrastructures vertes, comme des toitures végétalisées sur les bâtiments associés aux panneaux photovoltaïques</w:t>
      </w:r>
      <w:r>
        <w:t> ;</w:t>
      </w:r>
      <w:r w:rsidRPr="00D17469">
        <w:t xml:space="preserve"> Créer des zones tampons autour des habitats sensibles pour protéger la faune et la flore pendant les travaux</w:t>
      </w:r>
      <w:r>
        <w:t> ;</w:t>
      </w:r>
      <w:r w:rsidRPr="00D17469">
        <w:t xml:space="preserve"> Adopter des pratiques de gestion et d’entretien qui favorisent la biodiversité, comme la fauche tardive et le pâturage extensif sous les parcs éoliens et solaires ; </w:t>
      </w:r>
    </w:p>
    <w:p w14:paraId="7EDFD134" w14:textId="77777777" w:rsidR="00666805" w:rsidRPr="00962BDF" w:rsidRDefault="00666805" w:rsidP="00666805">
      <w:pPr>
        <w:pStyle w:val="Paragraphedeliste"/>
        <w:numPr>
          <w:ilvl w:val="0"/>
          <w:numId w:val="41"/>
        </w:numPr>
        <w:spacing w:after="160"/>
        <w:ind w:left="1440"/>
      </w:pPr>
      <w:r w:rsidRPr="00D17469">
        <w:rPr>
          <w:b/>
          <w:bCs/>
        </w:rPr>
        <w:t>Compenser :</w:t>
      </w:r>
      <w:r w:rsidRPr="00D17469">
        <w:t xml:space="preserve"> Participer à des projets de reboisement et de réhabilitation écologique pour restaurer les habitats dégradés à proximité des installations</w:t>
      </w:r>
      <w:r>
        <w:t> ;</w:t>
      </w:r>
      <w:r w:rsidRPr="00D17469">
        <w:t xml:space="preserve"> Mettre en place un programme de suivi de la biodiversité pour évaluer les impacts des installations et ajuster les mesures de gestion en conséquence</w:t>
      </w:r>
      <w:r>
        <w:t> ;</w:t>
      </w:r>
      <w:r w:rsidRPr="00D17469">
        <w:t xml:space="preserve"> Sensibiliser les </w:t>
      </w:r>
      <w:r>
        <w:t>communauté</w:t>
      </w:r>
      <w:r w:rsidRPr="00D17469">
        <w:t xml:space="preserve">s locales aux enjeux de la biodiversité et aux actions entreprises pour la protéger, et </w:t>
      </w:r>
      <w:r w:rsidRPr="00962BDF">
        <w:t>les impliquer dans les projets de restauration.</w:t>
      </w:r>
    </w:p>
    <w:p w14:paraId="6B69A1C3" w14:textId="77777777" w:rsidR="00666805" w:rsidRPr="00962BDF" w:rsidRDefault="00666805" w:rsidP="00666805">
      <w:r w:rsidRPr="00962BDF">
        <w:t>Les actions concernées sont les suivantes :</w:t>
      </w:r>
    </w:p>
    <w:p w14:paraId="4E6FA901" w14:textId="77777777" w:rsidR="00666805" w:rsidRPr="00962BDF" w:rsidRDefault="00666805" w:rsidP="00666805">
      <w:pPr>
        <w:pStyle w:val="QBO-Puces1"/>
      </w:pPr>
      <w:bookmarkStart w:id="99" w:name="_Hlk178264256"/>
      <w:r w:rsidRPr="00962BDF">
        <w:rPr>
          <w:b/>
          <w:bCs/>
        </w:rPr>
        <w:t>Action 1.3</w:t>
      </w:r>
      <w:r w:rsidRPr="00962BDF">
        <w:t xml:space="preserve"> Orienter les agriculteurs vers les leviers d’économies d’énergie adaptés à leur exploitation et développer les énergies renouvelables </w:t>
      </w:r>
    </w:p>
    <w:p w14:paraId="2CB36C3F" w14:textId="77777777" w:rsidR="00666805" w:rsidRPr="00962BDF" w:rsidRDefault="00666805" w:rsidP="00666805">
      <w:pPr>
        <w:pStyle w:val="QBO-Puces1"/>
      </w:pPr>
      <w:r w:rsidRPr="00962BDF">
        <w:rPr>
          <w:b/>
          <w:bCs/>
        </w:rPr>
        <w:t>Action 1.6</w:t>
      </w:r>
      <w:r w:rsidRPr="00962BDF">
        <w:t xml:space="preserve"> Accélérer la production de chaleur et d’électricité renouvelable et de biogaz</w:t>
      </w:r>
    </w:p>
    <w:p w14:paraId="7A4C8167" w14:textId="77777777" w:rsidR="00666805" w:rsidRPr="00962BDF" w:rsidRDefault="00666805" w:rsidP="00666805">
      <w:pPr>
        <w:pStyle w:val="QBO-Puces1"/>
      </w:pPr>
      <w:r w:rsidRPr="00962BDF">
        <w:rPr>
          <w:b/>
          <w:bCs/>
        </w:rPr>
        <w:t>Action 1.7</w:t>
      </w:r>
      <w:r w:rsidRPr="00962BDF">
        <w:t xml:space="preserve"> Faire de l’agglomération un territoire d’expérimentions bois local</w:t>
      </w:r>
    </w:p>
    <w:p w14:paraId="640D486C" w14:textId="77777777" w:rsidR="00666805" w:rsidRPr="00962BDF" w:rsidRDefault="00666805" w:rsidP="00666805">
      <w:pPr>
        <w:pStyle w:val="QBO-Puces1"/>
      </w:pPr>
      <w:r w:rsidRPr="00962BDF">
        <w:rPr>
          <w:b/>
          <w:bCs/>
        </w:rPr>
        <w:t>Action 3.1</w:t>
      </w:r>
      <w:r w:rsidRPr="00962BDF">
        <w:t xml:space="preserve"> Accélérer la transition écologique et énergétique des bâtiments du territoire</w:t>
      </w:r>
    </w:p>
    <w:p w14:paraId="6CA048C0" w14:textId="77777777" w:rsidR="00666805" w:rsidRPr="00962BDF" w:rsidRDefault="00666805" w:rsidP="00666805">
      <w:pPr>
        <w:pStyle w:val="QBO-Puces1"/>
        <w:spacing w:after="240"/>
      </w:pPr>
      <w:r w:rsidRPr="00962BDF">
        <w:rPr>
          <w:b/>
          <w:bCs/>
        </w:rPr>
        <w:t xml:space="preserve">Action </w:t>
      </w:r>
      <w:r>
        <w:rPr>
          <w:b/>
          <w:bCs/>
        </w:rPr>
        <w:t>6</w:t>
      </w:r>
      <w:r w:rsidRPr="00962BDF">
        <w:rPr>
          <w:b/>
          <w:bCs/>
        </w:rPr>
        <w:t>.3</w:t>
      </w:r>
      <w:r w:rsidRPr="00962BDF">
        <w:t xml:space="preserve"> Engager la transition écologique et énergétique des collectivités</w:t>
      </w:r>
    </w:p>
    <w:p w14:paraId="5C13CEB5" w14:textId="77777777" w:rsidR="00666805" w:rsidRPr="00962BDF" w:rsidRDefault="00666805" w:rsidP="00666805">
      <w:pPr>
        <w:pStyle w:val="Titre3"/>
      </w:pPr>
      <w:bookmarkStart w:id="100" w:name="_Toc178258880"/>
      <w:bookmarkStart w:id="101" w:name="_Toc179277429"/>
      <w:bookmarkEnd w:id="99"/>
      <w:r w:rsidRPr="00962BDF">
        <w:t>Risque de dégradation de la biodiversité aquatique avec le développement du transport fluvial de marchandises</w:t>
      </w:r>
      <w:bookmarkEnd w:id="100"/>
      <w:bookmarkEnd w:id="101"/>
    </w:p>
    <w:p w14:paraId="7EEDD163" w14:textId="77777777" w:rsidR="00666805" w:rsidRPr="00B02A85" w:rsidRDefault="00666805" w:rsidP="00666805">
      <w:r w:rsidRPr="00962BDF">
        <w:t>Le développem</w:t>
      </w:r>
      <w:r w:rsidRPr="00B02A85">
        <w:t xml:space="preserve">ent d’une activité de fret fluvial sur l’Odet ainsi que le réaménagement du port de </w:t>
      </w:r>
      <w:proofErr w:type="spellStart"/>
      <w:r w:rsidRPr="00B02A85">
        <w:t>Corniguel</w:t>
      </w:r>
      <w:proofErr w:type="spellEnd"/>
      <w:r w:rsidRPr="00B02A85">
        <w:t xml:space="preserve"> pourraient entrainer des risques accrus pour la biodiversité aquatique de l’Odet. Les mesures préconisées pour ce type d’impact sont :</w:t>
      </w:r>
    </w:p>
    <w:p w14:paraId="0486C8CA" w14:textId="77777777" w:rsidR="00666805" w:rsidRPr="00B02A85" w:rsidRDefault="00666805" w:rsidP="00666805">
      <w:pPr>
        <w:pStyle w:val="Paragraphedeliste"/>
        <w:numPr>
          <w:ilvl w:val="0"/>
          <w:numId w:val="41"/>
        </w:numPr>
        <w:spacing w:after="160"/>
        <w:ind w:left="1440"/>
        <w:rPr>
          <w:b/>
          <w:bCs/>
        </w:rPr>
      </w:pPr>
      <w:r w:rsidRPr="00B02A85">
        <w:rPr>
          <w:b/>
          <w:bCs/>
        </w:rPr>
        <w:t xml:space="preserve">Eviter : </w:t>
      </w:r>
      <w:r w:rsidRPr="00B02A85">
        <w:t>R</w:t>
      </w:r>
      <w:r w:rsidRPr="00EB118E">
        <w:t>éaliser des études d’impact environnemental pour identifier les zones aquatiques sensibles avant de planifier les itinéraires fluviaux et le tonnage accepté des navires</w:t>
      </w:r>
      <w:r>
        <w:t> ;</w:t>
      </w:r>
      <w:r w:rsidRPr="00EB118E">
        <w:t xml:space="preserve"> Planifier les opérations de dragage et de construction en dehors des périodes de reproduction et de migration des espèces aquatiques ;</w:t>
      </w:r>
    </w:p>
    <w:p w14:paraId="41D1B0BE" w14:textId="77777777" w:rsidR="00666805" w:rsidRPr="00EB118E" w:rsidRDefault="00666805" w:rsidP="00666805">
      <w:pPr>
        <w:pStyle w:val="Paragraphedeliste"/>
        <w:numPr>
          <w:ilvl w:val="0"/>
          <w:numId w:val="41"/>
        </w:numPr>
        <w:spacing w:after="160"/>
        <w:ind w:left="1440"/>
      </w:pPr>
      <w:r w:rsidRPr="00B02A85">
        <w:rPr>
          <w:b/>
          <w:bCs/>
        </w:rPr>
        <w:t>Réduire</w:t>
      </w:r>
      <w:r w:rsidRPr="00B02A85">
        <w:rPr>
          <w:rFonts w:hint="eastAsia"/>
        </w:rPr>
        <w:t> </w:t>
      </w:r>
      <w:r w:rsidRPr="00B02A85">
        <w:t xml:space="preserve">: </w:t>
      </w:r>
      <w:r w:rsidRPr="00EB118E">
        <w:t>Utiliser des technologies de propulsion plus propres et silencieuses pour réduire les perturbations sonores et la pollution de l’eau</w:t>
      </w:r>
      <w:r>
        <w:t> ;</w:t>
      </w:r>
      <w:r w:rsidRPr="00EB118E">
        <w:t xml:space="preserve"> Limiter la vitesse des bateaux dans les zones sensibles pour réduire le risque de collision avec la faune aquatique et minimiser l’érosion des berges</w:t>
      </w:r>
      <w:r>
        <w:t> ;</w:t>
      </w:r>
      <w:r w:rsidRPr="00EB118E">
        <w:t xml:space="preserve"> Mettre en place des mesures strictes pour prévenir les déversements accidentels de carburant et de produits chimiques des navires</w:t>
      </w:r>
      <w:r>
        <w:t> ;</w:t>
      </w:r>
      <w:r w:rsidRPr="00EB118E">
        <w:t xml:space="preserve"> Utiliser des techniques de stabilisation des berges écologiques, comme les fascines ou les gabions végétalisés, pour réduire l’érosion et protéger les habitats riverains ;</w:t>
      </w:r>
    </w:p>
    <w:p w14:paraId="24764E2E" w14:textId="77777777" w:rsidR="00666805" w:rsidRPr="00962BDF" w:rsidRDefault="00666805" w:rsidP="00666805">
      <w:pPr>
        <w:pStyle w:val="Paragraphedeliste"/>
        <w:numPr>
          <w:ilvl w:val="0"/>
          <w:numId w:val="41"/>
        </w:numPr>
        <w:spacing w:after="160"/>
        <w:ind w:left="1440"/>
      </w:pPr>
      <w:r w:rsidRPr="00962BDF">
        <w:rPr>
          <w:b/>
          <w:bCs/>
        </w:rPr>
        <w:t>Compenser </w:t>
      </w:r>
      <w:r w:rsidRPr="00962BDF">
        <w:t>: Participer à des projets de restauration des habitats aquatiques dégradés, comme la replantation de végétation aquatique, la création de frayères et la restauration des zones humides ; Créer des habitats artificiels tels que des récifs et des abris pour la faune aquatique afin de compenser les pertes d’habitats naturels.</w:t>
      </w:r>
    </w:p>
    <w:p w14:paraId="69A1F66D" w14:textId="77777777" w:rsidR="00666805" w:rsidRPr="00962BDF" w:rsidRDefault="00666805" w:rsidP="00666805">
      <w:bookmarkStart w:id="102" w:name="_Hlk178264298"/>
      <w:r w:rsidRPr="00962BDF">
        <w:t>L</w:t>
      </w:r>
      <w:r>
        <w:t>’</w:t>
      </w:r>
      <w:r w:rsidRPr="00962BDF">
        <w:t>action concernée</w:t>
      </w:r>
      <w:r>
        <w:t xml:space="preserve"> est la suivante</w:t>
      </w:r>
      <w:r w:rsidRPr="00962BDF">
        <w:t xml:space="preserve"> :</w:t>
      </w:r>
    </w:p>
    <w:bookmarkEnd w:id="74"/>
    <w:p w14:paraId="0577AAE3" w14:textId="77777777" w:rsidR="00666805" w:rsidRPr="00962BDF" w:rsidRDefault="00666805" w:rsidP="00666805">
      <w:pPr>
        <w:pStyle w:val="QBO-Puces1"/>
      </w:pPr>
      <w:r w:rsidRPr="00962BDF">
        <w:rPr>
          <w:b/>
          <w:bCs/>
        </w:rPr>
        <w:t>Action 2.6</w:t>
      </w:r>
      <w:r w:rsidRPr="00962BDF">
        <w:t xml:space="preserve"> Mettre en place la logistique urbaine durable</w:t>
      </w:r>
    </w:p>
    <w:bookmarkEnd w:id="102"/>
    <w:p w14:paraId="65866F6D" w14:textId="77777777" w:rsidR="009D5530" w:rsidRPr="00E1705D" w:rsidRDefault="007E57EC">
      <w:pPr>
        <w:spacing w:after="200" w:line="276" w:lineRule="auto"/>
        <w:jc w:val="left"/>
        <w:rPr>
          <w:rFonts w:eastAsiaTheme="majorEastAsia" w:cs="Arial"/>
          <w:color w:val="auto"/>
          <w:sz w:val="28"/>
          <w:szCs w:val="28"/>
          <w:highlight w:val="yellow"/>
        </w:rPr>
      </w:pPr>
      <w:r w:rsidRPr="00E1705D">
        <w:rPr>
          <w:highlight w:val="yellow"/>
        </w:rPr>
        <w:br w:type="page"/>
      </w:r>
    </w:p>
    <w:p w14:paraId="716DA7D3" w14:textId="77777777" w:rsidR="009D5530" w:rsidRPr="00DC099E" w:rsidRDefault="007E57EC" w:rsidP="00DC099E">
      <w:pPr>
        <w:pStyle w:val="SGBDS-Titre1"/>
      </w:pPr>
      <w:bookmarkStart w:id="103" w:name="_Toc179277430"/>
      <w:r w:rsidRPr="00DC099E">
        <w:lastRenderedPageBreak/>
        <w:t>Indicateurs de suivi</w:t>
      </w:r>
      <w:bookmarkEnd w:id="103"/>
    </w:p>
    <w:p w14:paraId="4529BED4" w14:textId="4FCE4505" w:rsidR="00952B4F" w:rsidRPr="00952B4F" w:rsidRDefault="00952B4F" w:rsidP="00666805">
      <w:pPr>
        <w:pStyle w:val="QBO-Texte"/>
      </w:pPr>
      <w:bookmarkStart w:id="104" w:name="_Hlk176427885"/>
      <w:r w:rsidRPr="00952B4F">
        <w:t>Le dispositif de suivi environnemental a pour objectif de surveiller l’évolution des impacts (positifs et/ou négatifs) du PCAET. Le dispositif de suivi environnemental consiste en l’ensemble des moyens d’analyse et des mesures nécessaires au contrôle de la mise en œuvre de l’action. Il permet de vérifier le respect des engagements pris dans le domaine de l’environnement, par une confrontation d’un bilan aux engagements initiaux. Il s’appuie ainsi sur des indicateurs environnementaux, qui permettent d’évaluer les effets du PCAET sur les différents enjeux environnementaux identifiés lors de l’analyse de l’état initial de l’environnement. La présente partie permet d’identifier la gouvernance et les indicateurs environnementaux mis en place pour assurer le suivi des effets du PCAET.</w:t>
      </w:r>
    </w:p>
    <w:p w14:paraId="6D8AB7BC" w14:textId="77777777" w:rsidR="00952B4F" w:rsidRPr="00952B4F" w:rsidRDefault="00952B4F" w:rsidP="00666805">
      <w:pPr>
        <w:pStyle w:val="QBO-Texte"/>
      </w:pPr>
      <w:r w:rsidRPr="00952B4F">
        <w:t>Dans le cadre de la rédaction des fiches-actions, le PCAET identifie d’ores-et-déjà des indicateurs de suivi, en lien avec les objectifs stratégiques du document. Certains de ces indicateurs peuvent également servir au suivi environnemental des actions, et permettre lors de l’évaluation à mi-parcours puis à 6 ans, de dresser un bilan des impacts environnementaux de la mise en œuvre du PCAET. C’est particulièrement le cas pour les actions en lien avec la vulnérabilité du territoire.</w:t>
      </w:r>
    </w:p>
    <w:p w14:paraId="7DB796A3" w14:textId="77777777" w:rsidR="00952B4F" w:rsidRPr="00952B4F" w:rsidRDefault="00952B4F" w:rsidP="00666805">
      <w:pPr>
        <w:pStyle w:val="QBO-Texte"/>
      </w:pPr>
      <w:r w:rsidRPr="00952B4F">
        <w:t>D’autres indicateurs peuvent être proposés pour compléter ce suivi « stratégique », afin d’alimenter le futur bilan environnemental du PCAET. Ces indicateurs s’appuient, autant que possible, sur des données déjà existantes au moment de l’approbation du PCAET, afin de disposer d’un état initial de référence.</w:t>
      </w:r>
    </w:p>
    <w:p w14:paraId="5D005D59" w14:textId="1AFA3338" w:rsidR="00952B4F" w:rsidRPr="00952B4F" w:rsidRDefault="00952B4F" w:rsidP="00666805">
      <w:pPr>
        <w:pStyle w:val="QBO-Texte"/>
      </w:pPr>
      <w:r w:rsidRPr="00952B4F">
        <w:t>L’outil de suivi est présenté dans un fichier à part. Les indicateurs sont reportés sur les fiches-actions.</w:t>
      </w:r>
    </w:p>
    <w:bookmarkEnd w:id="104"/>
    <w:p w14:paraId="2DC329A1" w14:textId="77777777" w:rsidR="009D5530" w:rsidRPr="00E1705D" w:rsidRDefault="009D5530">
      <w:pPr>
        <w:pStyle w:val="SGBDS-Normal"/>
        <w:rPr>
          <w:highlight w:val="yellow"/>
        </w:rPr>
        <w:sectPr w:rsidR="009D5530" w:rsidRPr="00E1705D" w:rsidSect="00055A7C">
          <w:headerReference w:type="default" r:id="rId55"/>
          <w:pgSz w:w="11906" w:h="16838"/>
          <w:pgMar w:top="1418" w:right="1418" w:bottom="1418" w:left="1418" w:header="709" w:footer="709" w:gutter="0"/>
          <w:cols w:space="708"/>
          <w:docGrid w:linePitch="360"/>
        </w:sectPr>
      </w:pPr>
    </w:p>
    <w:p w14:paraId="111E67F0" w14:textId="77777777" w:rsidR="00666805" w:rsidRPr="005A77FF" w:rsidRDefault="00666805" w:rsidP="00666805">
      <w:pPr>
        <w:pStyle w:val="Style3"/>
      </w:pPr>
      <w:bookmarkStart w:id="105" w:name="_Toc178258882"/>
      <w:bookmarkStart w:id="106" w:name="_Toc179277431"/>
      <w:bookmarkEnd w:id="0"/>
      <w:r w:rsidRPr="005A77FF">
        <w:lastRenderedPageBreak/>
        <w:t>JUSTIFICATION DES RAISONS DU CHOIX DU PCAET</w:t>
      </w:r>
      <w:bookmarkEnd w:id="106"/>
      <w:r w:rsidRPr="005A77FF">
        <w:t xml:space="preserve"> </w:t>
      </w:r>
      <w:bookmarkEnd w:id="105"/>
    </w:p>
    <w:p w14:paraId="56861E21" w14:textId="77777777" w:rsidR="00666805" w:rsidRPr="00DA21B8" w:rsidRDefault="00666805" w:rsidP="00666805">
      <w:bookmarkStart w:id="107" w:name="_Hlk176428832"/>
      <w:r w:rsidRPr="005A77FF">
        <w:t xml:space="preserve">Dans le cadre de l’élaboration de son PCAET, la communauté d’agglomération de Quimper Bretagne Occidentale s’est attachée à ce que sa construction soit partagée. La collectivité a souhaité que les communes du territoire, les acteurs économiques, la société civile soient parties prenantes de cette démarche. À ce titre, la collectivité a invité les acteurs du territoire (entreprises, institutions, chambres consulaires, </w:t>
      </w:r>
      <w:r w:rsidRPr="00DA21B8">
        <w:t>associations, habitants, salariés, usagers, etc.), à différents stades de son élaboration.</w:t>
      </w:r>
    </w:p>
    <w:p w14:paraId="723EBDD0" w14:textId="77777777" w:rsidR="00666805" w:rsidRPr="00A95274" w:rsidRDefault="00666805" w:rsidP="00666805">
      <w:r w:rsidRPr="00DA21B8">
        <w:t>Ces contributions ont permis de définir plus précisément les attentes en termes d’objectifs du PCAET, mais également de préciser et de prendre en compte les principaux enjeux sociaux, économiques et environnementaux associés dans le cadre de l</w:t>
      </w:r>
      <w:r>
        <w:t>’élaboration du PCAET</w:t>
      </w:r>
      <w:r w:rsidRPr="00DA21B8">
        <w:t xml:space="preserve">. Cette démarche de co-construction s’est appuyée sur différents </w:t>
      </w:r>
      <w:r w:rsidRPr="00A95274">
        <w:t>outils : questionnaire grand public, ateliers de co-construction, etc.</w:t>
      </w:r>
    </w:p>
    <w:p w14:paraId="6C04CEFE" w14:textId="77777777" w:rsidR="00666805" w:rsidRPr="00A95274" w:rsidRDefault="00666805" w:rsidP="00666805">
      <w:r w:rsidRPr="00A95274">
        <w:t>Le schéma qui suit reprend les grandes étapes d’élaboration du PCAET et de l’Évaluation Environnementale Stratégique de la communauté d’agglomération, ainsi que les processus d’interaction qui les relient :</w:t>
      </w:r>
    </w:p>
    <w:p w14:paraId="0F85DEFC" w14:textId="77777777" w:rsidR="00666805" w:rsidRPr="00A95274" w:rsidRDefault="00666805" w:rsidP="00666805">
      <w:pPr>
        <w:pStyle w:val="CCNEB-Texte"/>
      </w:pPr>
      <w:r w:rsidRPr="00A95274">
        <w:rPr>
          <w:noProof/>
          <w:lang w:eastAsia="fr-FR"/>
        </w:rPr>
        <w:drawing>
          <wp:inline distT="0" distB="0" distL="0" distR="0" wp14:anchorId="7DD157BB" wp14:editId="4DB45877">
            <wp:extent cx="5759450" cy="2341245"/>
            <wp:effectExtent l="0" t="0" r="0" b="0"/>
            <wp:docPr id="28" name="Image 28" descr="Une image contenant texte, capture d’écran, Police, conception&#10;&#10;Description générée automatiquement"/>
            <wp:cNvGraphicFramePr/>
            <a:graphic xmlns:a="http://schemas.openxmlformats.org/drawingml/2006/main">
              <a:graphicData uri="http://schemas.openxmlformats.org/drawingml/2006/picture">
                <pic:pic xmlns:pic="http://schemas.openxmlformats.org/drawingml/2006/picture">
                  <pic:nvPicPr>
                    <pic:cNvPr id="28" name="Image 28" descr="Une image contenant texte, capture d’écran, Police, conception&#10;&#10;Description générée automatiquement"/>
                    <pic:cNvPicPr/>
                  </pic:nvPicPr>
                  <pic:blipFill rotWithShape="1">
                    <a:blip r:embed="rId56" cstate="print">
                      <a:extLst>
                        <a:ext uri="{28A0092B-C50C-407E-A947-70E740481C1C}">
                          <a14:useLocalDpi xmlns:a14="http://schemas.microsoft.com/office/drawing/2010/main" val="0"/>
                        </a:ext>
                      </a:extLst>
                    </a:blip>
                    <a:srcRect b="-3406"/>
                    <a:stretch/>
                  </pic:blipFill>
                  <pic:spPr bwMode="auto">
                    <a:xfrm>
                      <a:off x="0" y="0"/>
                      <a:ext cx="5759450" cy="2341245"/>
                    </a:xfrm>
                    <a:prstGeom prst="rect">
                      <a:avLst/>
                    </a:prstGeom>
                    <a:noFill/>
                    <a:ln>
                      <a:noFill/>
                    </a:ln>
                    <a:extLst>
                      <a:ext uri="{53640926-AAD7-44D8-BBD7-CCE9431645EC}">
                        <a14:shadowObscured xmlns:a14="http://schemas.microsoft.com/office/drawing/2010/main"/>
                      </a:ext>
                    </a:extLst>
                  </pic:spPr>
                </pic:pic>
              </a:graphicData>
            </a:graphic>
          </wp:inline>
        </w:drawing>
      </w:r>
    </w:p>
    <w:p w14:paraId="1DC83501" w14:textId="7ABADFB7" w:rsidR="00666805" w:rsidRPr="00A95274" w:rsidRDefault="00666805" w:rsidP="00666805">
      <w:pPr>
        <w:pStyle w:val="QBO-Lgende"/>
      </w:pPr>
      <w:r w:rsidRPr="000507D5">
        <w:t xml:space="preserve">Figure </w:t>
      </w:r>
      <w:r>
        <w:fldChar w:fldCharType="begin"/>
      </w:r>
      <w:r>
        <w:instrText xml:space="preserve"> SEQ Figure \* ARABIC </w:instrText>
      </w:r>
      <w:r>
        <w:fldChar w:fldCharType="separate"/>
      </w:r>
      <w:r w:rsidR="007F7541">
        <w:rPr>
          <w:noProof/>
        </w:rPr>
        <w:t>9</w:t>
      </w:r>
      <w:r>
        <w:rPr>
          <w:noProof/>
        </w:rPr>
        <w:fldChar w:fldCharType="end"/>
      </w:r>
      <w:r w:rsidRPr="000507D5">
        <w:t> :</w:t>
      </w:r>
      <w:r w:rsidRPr="009928D4">
        <w:rPr>
          <w:i/>
          <w:iCs/>
        </w:rPr>
        <w:t xml:space="preserve"> </w:t>
      </w:r>
      <w:r w:rsidRPr="00A95274">
        <w:t xml:space="preserve">Étapes de construction du PCAET et de l’Évaluation Environnementale Stratégique </w:t>
      </w:r>
    </w:p>
    <w:p w14:paraId="24A61778" w14:textId="77777777" w:rsidR="00666805" w:rsidRPr="00DA21B8" w:rsidRDefault="00666805" w:rsidP="00666805">
      <w:pPr>
        <w:pStyle w:val="QBO-Sources"/>
        <w:rPr>
          <w:i/>
          <w:iCs/>
        </w:rPr>
      </w:pPr>
      <w:r w:rsidRPr="00A95274">
        <w:t>Source : ALTEREA</w:t>
      </w:r>
    </w:p>
    <w:p w14:paraId="12DF219A" w14:textId="77777777" w:rsidR="00666805" w:rsidRPr="00A95274" w:rsidRDefault="00666805" w:rsidP="00666805">
      <w:pPr>
        <w:pStyle w:val="QBO-Texte"/>
      </w:pPr>
      <w:r w:rsidRPr="00A95274">
        <w:t>Les parties qui suivent reprennent les différentes étapes qui ont permis d’aboutir à la stratégie et au programme d’actions du PCAET de la communauté d’agglomération de Quimper Bretagne Occidentale.</w:t>
      </w:r>
      <w:bookmarkStart w:id="108" w:name="_Toc83048869"/>
      <w:bookmarkStart w:id="109" w:name="_Toc83053089"/>
    </w:p>
    <w:p w14:paraId="1518BD9B" w14:textId="77777777" w:rsidR="00666805" w:rsidRDefault="00666805" w:rsidP="00666805">
      <w:pPr>
        <w:pStyle w:val="Titre2"/>
      </w:pPr>
      <w:bookmarkStart w:id="110" w:name="_Toc132711674"/>
      <w:bookmarkStart w:id="111" w:name="_Toc178258883"/>
      <w:bookmarkStart w:id="112" w:name="_Toc179277432"/>
      <w:bookmarkEnd w:id="107"/>
      <w:r w:rsidRPr="00A95274">
        <w:t>Concertation</w:t>
      </w:r>
      <w:bookmarkEnd w:id="108"/>
      <w:bookmarkEnd w:id="109"/>
      <w:bookmarkEnd w:id="110"/>
      <w:bookmarkEnd w:id="111"/>
      <w:bookmarkEnd w:id="112"/>
    </w:p>
    <w:p w14:paraId="712EA0AC" w14:textId="77777777" w:rsidR="00666805" w:rsidRPr="00A95274" w:rsidRDefault="00666805" w:rsidP="00666805">
      <w:pPr>
        <w:pStyle w:val="Titre3"/>
      </w:pPr>
      <w:bookmarkStart w:id="113" w:name="_Toc178258884"/>
      <w:bookmarkStart w:id="114" w:name="_Toc179277433"/>
      <w:r>
        <w:t>Apports à la phase « stratégie »</w:t>
      </w:r>
      <w:bookmarkEnd w:id="113"/>
      <w:bookmarkEnd w:id="114"/>
      <w:r w:rsidRPr="00A95274">
        <w:t xml:space="preserve"> </w:t>
      </w:r>
    </w:p>
    <w:p w14:paraId="24D6DD9F" w14:textId="77777777" w:rsidR="00666805" w:rsidRDefault="00666805" w:rsidP="00666805">
      <w:pPr>
        <w:pStyle w:val="Titre4"/>
      </w:pPr>
      <w:bookmarkStart w:id="115" w:name="_Toc83048873"/>
      <w:bookmarkStart w:id="116" w:name="_Toc83053093"/>
      <w:bookmarkStart w:id="117" w:name="_Toc83048872"/>
      <w:bookmarkStart w:id="118" w:name="_Toc83053092"/>
      <w:r>
        <w:t xml:space="preserve">Atelier </w:t>
      </w:r>
      <w:r w:rsidRPr="00BD5757">
        <w:t>« </w:t>
      </w:r>
      <w:r>
        <w:t>s</w:t>
      </w:r>
      <w:r w:rsidRPr="00BD5757">
        <w:t>tratégie »</w:t>
      </w:r>
      <w:bookmarkEnd w:id="115"/>
      <w:bookmarkEnd w:id="116"/>
    </w:p>
    <w:p w14:paraId="6200EF68" w14:textId="77777777" w:rsidR="00666805" w:rsidRDefault="00666805" w:rsidP="00666805">
      <w:pPr>
        <w:pStyle w:val="QBO-Texte"/>
      </w:pPr>
      <w:r>
        <w:t xml:space="preserve">Afin de définir les orientations du territoire, un atelier « stratégie » a été proposé en juin 2023 aux services de Quimper Bretagne Occidentale, aux </w:t>
      </w:r>
      <w:r w:rsidRPr="000F70C9">
        <w:t xml:space="preserve">communes du territoire, </w:t>
      </w:r>
      <w:r>
        <w:t>aux</w:t>
      </w:r>
      <w:r w:rsidRPr="000F70C9">
        <w:t xml:space="preserve"> acteurs économiques</w:t>
      </w:r>
      <w:r>
        <w:t xml:space="preserve"> (institutions, chambres consulaires, entreprises, etc.)</w:t>
      </w:r>
      <w:r w:rsidRPr="000F70C9">
        <w:t xml:space="preserve">, </w:t>
      </w:r>
      <w:r>
        <w:t xml:space="preserve">ainsi qu’à </w:t>
      </w:r>
      <w:r w:rsidRPr="000F70C9">
        <w:t>la société civile</w:t>
      </w:r>
      <w:r>
        <w:t xml:space="preserve"> (monde associatif, habitants, etc.). Cet atelier a été divisé en plusieurs tables dans l’optique d’aborder 3 thématiques :</w:t>
      </w:r>
    </w:p>
    <w:p w14:paraId="58ED5008" w14:textId="77777777" w:rsidR="00666805" w:rsidRDefault="00666805" w:rsidP="00666805">
      <w:pPr>
        <w:pStyle w:val="Paragraphedeliste"/>
        <w:numPr>
          <w:ilvl w:val="0"/>
          <w:numId w:val="30"/>
        </w:numPr>
        <w:spacing w:after="160"/>
        <w:jc w:val="left"/>
      </w:pPr>
      <w:r>
        <w:t>L’habitat (secteur résidentiel, déchets et mobilité) ;</w:t>
      </w:r>
    </w:p>
    <w:p w14:paraId="23242849" w14:textId="77777777" w:rsidR="00666805" w:rsidRDefault="00666805" w:rsidP="00666805">
      <w:pPr>
        <w:pStyle w:val="Paragraphedeliste"/>
        <w:numPr>
          <w:ilvl w:val="0"/>
          <w:numId w:val="30"/>
        </w:numPr>
        <w:spacing w:after="160"/>
        <w:jc w:val="left"/>
      </w:pPr>
      <w:r>
        <w:t>L’activité agricole (secteur agricole) ;</w:t>
      </w:r>
    </w:p>
    <w:p w14:paraId="3D2A4925" w14:textId="77777777" w:rsidR="00666805" w:rsidRDefault="00666805" w:rsidP="00666805">
      <w:pPr>
        <w:pStyle w:val="Paragraphedeliste"/>
        <w:numPr>
          <w:ilvl w:val="0"/>
          <w:numId w:val="30"/>
        </w:numPr>
        <w:spacing w:after="160"/>
        <w:jc w:val="left"/>
      </w:pPr>
      <w:r>
        <w:t>Les activités économiques (secteur tertiaire, industrie, déchets et mobilité).</w:t>
      </w:r>
    </w:p>
    <w:p w14:paraId="1A44D501" w14:textId="77777777" w:rsidR="00666805" w:rsidRPr="00666805" w:rsidRDefault="00666805" w:rsidP="00666805">
      <w:pPr>
        <w:pStyle w:val="QBO-Texte"/>
      </w:pPr>
      <w:r w:rsidRPr="00666805">
        <w:t>Concernant le déroulé de cet atelier, il a été proposé dans un premier temps une présentation en plénière pour rappeler les enjeux du territoire issus de la phase diagnostic et état initial de l’environnement, puis un second temps de travail en groupe et enfin une restitution à l’ensemble des participants.</w:t>
      </w:r>
    </w:p>
    <w:p w14:paraId="5DAC428E" w14:textId="77777777" w:rsidR="00666805" w:rsidRDefault="00666805" w:rsidP="00666805">
      <w:pPr>
        <w:pStyle w:val="QBO-Texte"/>
      </w:pPr>
      <w:r>
        <w:rPr>
          <w:noProof/>
          <w14:ligatures w14:val="none"/>
        </w:rPr>
        <w:lastRenderedPageBreak/>
        <mc:AlternateContent>
          <mc:Choice Requires="wpg">
            <w:drawing>
              <wp:anchor distT="0" distB="0" distL="114300" distR="114300" simplePos="0" relativeHeight="252816384" behindDoc="0" locked="0" layoutInCell="1" allowOverlap="1" wp14:anchorId="4F6CEDC6" wp14:editId="13EF4B53">
                <wp:simplePos x="0" y="0"/>
                <wp:positionH relativeFrom="column">
                  <wp:posOffset>93199</wp:posOffset>
                </wp:positionH>
                <wp:positionV relativeFrom="paragraph">
                  <wp:posOffset>1467045</wp:posOffset>
                </wp:positionV>
                <wp:extent cx="5697220" cy="2865120"/>
                <wp:effectExtent l="38100" t="38100" r="93980" b="87630"/>
                <wp:wrapSquare wrapText="bothSides"/>
                <wp:docPr id="489392539" name="Groupe 15"/>
                <wp:cNvGraphicFramePr/>
                <a:graphic xmlns:a="http://schemas.openxmlformats.org/drawingml/2006/main">
                  <a:graphicData uri="http://schemas.microsoft.com/office/word/2010/wordprocessingGroup">
                    <wpg:wgp>
                      <wpg:cNvGrpSpPr/>
                      <wpg:grpSpPr>
                        <a:xfrm>
                          <a:off x="0" y="0"/>
                          <a:ext cx="5697220" cy="2865120"/>
                          <a:chOff x="0" y="0"/>
                          <a:chExt cx="5235208" cy="2574721"/>
                        </a:xfrm>
                      </wpg:grpSpPr>
                      <pic:pic xmlns:pic="http://schemas.openxmlformats.org/drawingml/2006/picture">
                        <pic:nvPicPr>
                          <pic:cNvPr id="1392805883" name="Image 1" descr="Une image contenant texte, capture d’écran, logiciel, Page web&#10;&#10;Description générée automatiquement"/>
                          <pic:cNvPicPr>
                            <a:picLocks noChangeAspect="1"/>
                          </pic:cNvPicPr>
                        </pic:nvPicPr>
                        <pic:blipFill rotWithShape="1">
                          <a:blip r:embed="rId57" cstate="print">
                            <a:extLst>
                              <a:ext uri="{28A0092B-C50C-407E-A947-70E740481C1C}">
                                <a14:useLocalDpi xmlns:a14="http://schemas.microsoft.com/office/drawing/2010/main" val="0"/>
                              </a:ext>
                            </a:extLst>
                          </a:blip>
                          <a:srcRect r="2727"/>
                          <a:stretch/>
                        </pic:blipFill>
                        <pic:spPr bwMode="auto">
                          <a:xfrm>
                            <a:off x="0" y="0"/>
                            <a:ext cx="2687320" cy="197104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717674784" name="Image 1" descr="Une image contenant texte, capture d’écran, cercle, Police&#10;&#10;Description générée automatiquement"/>
                          <pic:cNvPicPr>
                            <a:picLocks noChangeAspect="1"/>
                          </pic:cNvPicPr>
                        </pic:nvPicPr>
                        <pic:blipFill rotWithShape="1">
                          <a:blip r:embed="rId58" cstate="print">
                            <a:extLst>
                              <a:ext uri="{28A0092B-C50C-407E-A947-70E740481C1C}">
                                <a14:useLocalDpi xmlns:a14="http://schemas.microsoft.com/office/drawing/2010/main" val="0"/>
                              </a:ext>
                            </a:extLst>
                          </a:blip>
                          <a:srcRect r="2589"/>
                          <a:stretch/>
                        </pic:blipFill>
                        <pic:spPr bwMode="auto">
                          <a:xfrm>
                            <a:off x="2439130" y="562335"/>
                            <a:ext cx="2796078" cy="2012386"/>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FD1E375" id="Groupe 15" o:spid="_x0000_s1026" style="position:absolute;margin-left:7.35pt;margin-top:115.5pt;width:448.6pt;height:225.6pt;z-index:252816384;mso-width-relative:margin;mso-height-relative:margin" coordsize="52352,2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">
                <v:shape id="Image 1" o:spid="_x0000_s1027" type="#_x0000_t75" alt="Une image contenant texte, capture d’écran, logiciel, Page web&#10;&#10;Description générée automatiquement" style="position:absolute;width:26873;height:19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">
                  <v:imagedata r:id="rId59" o:title="Une image contenant texte, capture d’écran, logiciel, Page web&#10;&#10;Description générée automatiquement" cropright="1787f"/>
                  <v:shadow on="t" color="black" opacity="26214f" origin="-.5,-.5" offset=".74836mm,.74836mm"/>
                </v:shape>
                <v:shape id="Image 1" o:spid="_x0000_s1028" type="#_x0000_t75" alt="Une image contenant texte, capture d’écran, cercle, Police&#10;&#10;Description générée automatiquement" style="position:absolute;left:24391;top:5623;width:27961;height:20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">
                  <v:imagedata r:id="rId60" o:title="Une image contenant texte, capture d’écran, cercle, Police&#10;&#10;Description générée automatiquement" cropright="1697f"/>
                  <v:shadow on="t" color="black" opacity="26214f" origin="-.5,-.5" offset=".74836mm,.74836mm"/>
                </v:shape>
                <w10:wrap type="square"/>
              </v:group>
            </w:pict>
          </mc:Fallback>
        </mc:AlternateContent>
      </w:r>
      <w:r>
        <w:t>Les participants ont pu s’appuyer sur des supports thématiques sur lesquels les chiffres clés et les objectifs nationaux et régionaux associés étaient rappelés. Un autre support listait les pistes d’actions permettant d’agir sur l’état initial et partageait des</w:t>
      </w:r>
      <w:r w:rsidRPr="00432192">
        <w:t xml:space="preserve"> ordres de grandeur (facteur d’émission des énergies, etc.) afin de faciliter la prise de décision et d’ouvrir les échanges sur une base commune</w:t>
      </w:r>
      <w:r>
        <w:t>. Les participants ont pu définir des objectifs aux horizons 2030 et 2050, permettant d’améliorer l’adaptation du territoire ou de limiter les consommations d’énergies et les émissions de gaz à effet de serre. Les modalités de mise en œuvre de ces objectifs ont par la suite été plus finement étudiées lors des ateliers « programme d’actions » (moyens techniques, partenaires, localisation préférentielle, etc.).</w:t>
      </w:r>
      <w:r w:rsidRPr="008C6043">
        <w:rPr>
          <w:noProof/>
          <w14:ligatures w14:val="none"/>
        </w:rPr>
        <w:t xml:space="preserve"> </w:t>
      </w:r>
    </w:p>
    <w:p w14:paraId="34822E75" w14:textId="3B965815" w:rsidR="00666805" w:rsidRPr="00E57E70" w:rsidRDefault="00666805" w:rsidP="00666805">
      <w:pPr>
        <w:pStyle w:val="QBO-Lgende"/>
      </w:pPr>
      <w:r w:rsidRPr="00E57E70">
        <w:t xml:space="preserve">Figure </w:t>
      </w:r>
      <w:r>
        <w:fldChar w:fldCharType="begin"/>
      </w:r>
      <w:r>
        <w:instrText xml:space="preserve"> SEQ Figure \* ARABIC </w:instrText>
      </w:r>
      <w:r>
        <w:fldChar w:fldCharType="separate"/>
      </w:r>
      <w:r w:rsidR="007F7541">
        <w:rPr>
          <w:noProof/>
        </w:rPr>
        <w:t>10</w:t>
      </w:r>
      <w:r>
        <w:rPr>
          <w:noProof/>
        </w:rPr>
        <w:fldChar w:fldCharType="end"/>
      </w:r>
      <w:r w:rsidRPr="00E57E70">
        <w:t> : Exemple de supports utilisés pour l’atelier « Stratégie »</w:t>
      </w:r>
    </w:p>
    <w:p w14:paraId="013D156D" w14:textId="77777777" w:rsidR="00666805" w:rsidRPr="00247934" w:rsidRDefault="00666805" w:rsidP="00666805">
      <w:pPr>
        <w:pStyle w:val="QBO-Sources"/>
        <w:rPr>
          <w:i/>
          <w:iCs/>
        </w:rPr>
      </w:pPr>
      <w:r w:rsidRPr="00247934">
        <w:t>Source : Alterea</w:t>
      </w:r>
    </w:p>
    <w:p w14:paraId="1F6B9EB0" w14:textId="77777777" w:rsidR="00666805" w:rsidRPr="00C70E7C" w:rsidRDefault="00666805" w:rsidP="00666805">
      <w:pPr>
        <w:pStyle w:val="Titre4"/>
      </w:pPr>
      <w:r w:rsidRPr="00C70E7C">
        <w:t>Définitions de scénari</w:t>
      </w:r>
      <w:bookmarkEnd w:id="117"/>
      <w:bookmarkEnd w:id="118"/>
      <w:r w:rsidRPr="00C70E7C">
        <w:t xml:space="preserve">os </w:t>
      </w:r>
    </w:p>
    <w:p w14:paraId="7EB3803B" w14:textId="77777777" w:rsidR="00666805" w:rsidRPr="00C70E7C" w:rsidRDefault="00666805" w:rsidP="00666805">
      <w:pPr>
        <w:pStyle w:val="QBO-Texte"/>
      </w:pPr>
      <w:r w:rsidRPr="00C70E7C">
        <w:t xml:space="preserve">La définition de scénarios prospectifs et l’analyse de leurs impacts en matière de consommation d’énergie, de production d’énergies renouvelables, d’émissions de gaz à effet de serre mais aussi de leurs incidences environnementales a aussi contribué à la définition des choix stratégiques de la collectivité. </w:t>
      </w:r>
    </w:p>
    <w:p w14:paraId="474B48EA" w14:textId="77777777" w:rsidR="00666805" w:rsidRPr="00C70E7C" w:rsidRDefault="00666805" w:rsidP="00666805">
      <w:pPr>
        <w:pStyle w:val="QBO-Texte"/>
      </w:pPr>
      <w:r w:rsidRPr="00C70E7C">
        <w:t>Les modalités de l’élaboration des scénarios et la prise en considération de ceux-ci dans la construction stratégique du PCAET est présentée dans la partie « Analyse des incidences environnementales de la Stratégie » du présent document.</w:t>
      </w:r>
    </w:p>
    <w:p w14:paraId="2E39036A" w14:textId="77777777" w:rsidR="00666805" w:rsidRPr="00C70E7C" w:rsidRDefault="00666805" w:rsidP="00666805">
      <w:pPr>
        <w:pStyle w:val="Titre4"/>
      </w:pPr>
      <w:r w:rsidRPr="00C70E7C">
        <w:t>Réunions « </w:t>
      </w:r>
      <w:r>
        <w:t>s</w:t>
      </w:r>
      <w:r w:rsidRPr="00C70E7C">
        <w:t>tratégie »</w:t>
      </w:r>
    </w:p>
    <w:p w14:paraId="5C44BB25" w14:textId="77777777" w:rsidR="00666805" w:rsidRPr="00C70E7C" w:rsidRDefault="00666805" w:rsidP="00666805">
      <w:pPr>
        <w:pStyle w:val="QBO-Texte"/>
      </w:pPr>
      <w:r w:rsidRPr="00C70E7C">
        <w:t xml:space="preserve">En 2023, une réunion de travail portant sur la </w:t>
      </w:r>
      <w:r>
        <w:t>s</w:t>
      </w:r>
      <w:r w:rsidRPr="00C70E7C">
        <w:t xml:space="preserve">tratégie du PCAET de la communauté d’agglomération de Quimper Bretagne Occidentale a été réalisée. Cette première réunion en format « de travail » avait pour objectif de présenter les résultats de la modélisation des deux premiers scénarios de travail (scénario « tendanciel » et </w:t>
      </w:r>
      <w:r>
        <w:t>« </w:t>
      </w:r>
      <w:r w:rsidRPr="00C70E7C">
        <w:t xml:space="preserve">conformité règlementaire ») et d’échanger sur la construction de la </w:t>
      </w:r>
      <w:r>
        <w:t>s</w:t>
      </w:r>
      <w:r w:rsidRPr="00C70E7C">
        <w:t xml:space="preserve">tratégie de la communauté d’agglomération basée sur les propositions réalisées par les participants à l’atelier </w:t>
      </w:r>
      <w:r>
        <w:t>s</w:t>
      </w:r>
      <w:r w:rsidRPr="00C70E7C">
        <w:t>tratégie. Les participants ont été invités à définir les orientations pouvant être mise</w:t>
      </w:r>
      <w:r>
        <w:t>s</w:t>
      </w:r>
      <w:r w:rsidRPr="00C70E7C">
        <w:t xml:space="preserve"> en œuvre sur le territoire d’ici à 2050 afin de remplir les objectifs locaux. </w:t>
      </w:r>
    </w:p>
    <w:p w14:paraId="53CC58C6" w14:textId="77777777" w:rsidR="00666805" w:rsidRPr="00C70E7C" w:rsidRDefault="00666805" w:rsidP="00666805">
      <w:pPr>
        <w:keepNext/>
        <w:jc w:val="center"/>
      </w:pPr>
      <w:r w:rsidRPr="00C70E7C">
        <w:rPr>
          <w:noProof/>
        </w:rPr>
        <w:lastRenderedPageBreak/>
        <w:drawing>
          <wp:inline distT="0" distB="0" distL="0" distR="0" wp14:anchorId="65A2C8AC" wp14:editId="041247AA">
            <wp:extent cx="2748289" cy="1548000"/>
            <wp:effectExtent l="38100" t="38100" r="90170" b="90805"/>
            <wp:docPr id="41" name="Image 41"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descr="Une image contenant texte, capture d’écran, diagramme, Police&#10;&#10;Description générée automatiquement"/>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748289" cy="1548000"/>
                    </a:xfrm>
                    <a:prstGeom prst="rect">
                      <a:avLst/>
                    </a:prstGeom>
                    <a:effectLst>
                      <a:outerShdw blurRad="50800" dist="38100" dir="2700000" algn="tl" rotWithShape="0">
                        <a:prstClr val="black">
                          <a:alpha val="40000"/>
                        </a:prstClr>
                      </a:outerShdw>
                    </a:effectLst>
                  </pic:spPr>
                </pic:pic>
              </a:graphicData>
            </a:graphic>
          </wp:inline>
        </w:drawing>
      </w:r>
      <w:r w:rsidRPr="00C70E7C">
        <w:rPr>
          <w:noProof/>
        </w:rPr>
        <w:drawing>
          <wp:inline distT="0" distB="0" distL="0" distR="0" wp14:anchorId="6B910DAF" wp14:editId="4C5400ED">
            <wp:extent cx="2741331" cy="1548000"/>
            <wp:effectExtent l="38100" t="38100" r="97155" b="90805"/>
            <wp:docPr id="931" name="Image 931" descr="Une image contenant texte, capture d’écran, Police,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Image 931" descr="Une image contenant texte, capture d’écran, Police, Page web&#10;&#10;Description générée automatiquement"/>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741331" cy="1548000"/>
                    </a:xfrm>
                    <a:prstGeom prst="rect">
                      <a:avLst/>
                    </a:prstGeom>
                    <a:effectLst>
                      <a:outerShdw blurRad="50800" dist="38100" dir="2700000" algn="tl" rotWithShape="0">
                        <a:prstClr val="black">
                          <a:alpha val="40000"/>
                        </a:prstClr>
                      </a:outerShdw>
                    </a:effectLst>
                  </pic:spPr>
                </pic:pic>
              </a:graphicData>
            </a:graphic>
          </wp:inline>
        </w:drawing>
      </w:r>
    </w:p>
    <w:p w14:paraId="61769811" w14:textId="3940A869" w:rsidR="00666805" w:rsidRPr="00C70E7C" w:rsidRDefault="00666805" w:rsidP="00666805">
      <w:pPr>
        <w:pStyle w:val="QBO-Lgende"/>
      </w:pPr>
      <w:r w:rsidRPr="00C70E7C">
        <w:t xml:space="preserve">Figure </w:t>
      </w:r>
      <w:r>
        <w:fldChar w:fldCharType="begin"/>
      </w:r>
      <w:r>
        <w:instrText xml:space="preserve"> SEQ Figure \* ARABIC </w:instrText>
      </w:r>
      <w:r>
        <w:fldChar w:fldCharType="separate"/>
      </w:r>
      <w:r w:rsidR="007F7541">
        <w:rPr>
          <w:noProof/>
        </w:rPr>
        <w:t>11</w:t>
      </w:r>
      <w:r>
        <w:rPr>
          <w:noProof/>
        </w:rPr>
        <w:fldChar w:fldCharType="end"/>
      </w:r>
      <w:r w:rsidRPr="00C70E7C">
        <w:t> : Exemple de supports utilisés pour les réunions de définition des objectifs stratégiques</w:t>
      </w:r>
    </w:p>
    <w:p w14:paraId="1DB4B2D9" w14:textId="77777777" w:rsidR="00666805" w:rsidRPr="00247934" w:rsidRDefault="00666805" w:rsidP="00666805">
      <w:pPr>
        <w:pStyle w:val="QBO-Sources"/>
        <w:rPr>
          <w:i/>
          <w:iCs/>
        </w:rPr>
      </w:pPr>
      <w:r w:rsidRPr="00247934">
        <w:t>Source : Alterea</w:t>
      </w:r>
    </w:p>
    <w:p w14:paraId="383DED2C" w14:textId="77777777" w:rsidR="00666805" w:rsidRPr="00BE0B9F" w:rsidRDefault="00666805" w:rsidP="00666805">
      <w:pPr>
        <w:pStyle w:val="QBO-Texte"/>
      </w:pPr>
      <w:r w:rsidRPr="00BE0B9F">
        <w:t>Une première ébauche de la stratégie « CA QBO 2050 » a été définie à la suite de la réunion de travail, laquelle a été remaniée à plusieurs reprises pour donner suite aux échanges</w:t>
      </w:r>
      <w:r>
        <w:t xml:space="preserve"> avec la collectivité</w:t>
      </w:r>
      <w:r w:rsidRPr="00BE0B9F">
        <w:t>. La stratégie a par la suite été validée en Comité de Pilotage (COPIL). Celle-ci a ensuite été présentée</w:t>
      </w:r>
      <w:r>
        <w:t xml:space="preserve"> en</w:t>
      </w:r>
      <w:r w:rsidRPr="00BE0B9F">
        <w:t xml:space="preserve"> </w:t>
      </w:r>
      <w:r>
        <w:t>Conseil</w:t>
      </w:r>
      <w:r w:rsidRPr="00BE0B9F">
        <w:t xml:space="preserve"> </w:t>
      </w:r>
      <w:r>
        <w:t xml:space="preserve">Communautaire, puis </w:t>
      </w:r>
      <w:r w:rsidRPr="00BE0B9F">
        <w:t>aux parties prenantes au travers d’une réunion publique proposée fin d’année 2023</w:t>
      </w:r>
      <w:r>
        <w:t>.</w:t>
      </w:r>
      <w:r w:rsidRPr="00BE0B9F">
        <w:t xml:space="preserve"> </w:t>
      </w:r>
    </w:p>
    <w:p w14:paraId="3AC08F9F" w14:textId="77777777" w:rsidR="00666805" w:rsidRPr="00BE0B9F" w:rsidRDefault="00666805" w:rsidP="00666805">
      <w:pPr>
        <w:pStyle w:val="QBO-Texte"/>
      </w:pPr>
      <w:r w:rsidRPr="00BE0B9F">
        <w:t>Ainsi, la stratégie du territoire à l’horizon 2050 s’est construite en plusieurs temps :</w:t>
      </w:r>
    </w:p>
    <w:p w14:paraId="08528A0D" w14:textId="77777777" w:rsidR="00666805" w:rsidRPr="00BE0B9F" w:rsidRDefault="00666805" w:rsidP="00666805">
      <w:pPr>
        <w:pStyle w:val="PuceA"/>
        <w:numPr>
          <w:ilvl w:val="0"/>
          <w:numId w:val="23"/>
        </w:numPr>
        <w:spacing w:line="276" w:lineRule="auto"/>
        <w:contextualSpacing/>
      </w:pPr>
      <w:r w:rsidRPr="00BE0B9F">
        <w:t>Un atelier « </w:t>
      </w:r>
      <w:r>
        <w:t>s</w:t>
      </w:r>
      <w:r w:rsidRPr="00BE0B9F">
        <w:t>tratégie » articulé autour de 3 thématiques (juin 2023) ;</w:t>
      </w:r>
    </w:p>
    <w:p w14:paraId="6186CC8B" w14:textId="77777777" w:rsidR="00666805" w:rsidRPr="00BE0B9F" w:rsidRDefault="00666805" w:rsidP="00666805">
      <w:pPr>
        <w:pStyle w:val="PuceA"/>
        <w:numPr>
          <w:ilvl w:val="0"/>
          <w:numId w:val="23"/>
        </w:numPr>
        <w:spacing w:line="276" w:lineRule="auto"/>
        <w:contextualSpacing/>
      </w:pPr>
      <w:r w:rsidRPr="00BE0B9F">
        <w:t>Un Comité Technique (COTECH) « </w:t>
      </w:r>
      <w:r>
        <w:t>s</w:t>
      </w:r>
      <w:r w:rsidRPr="00BE0B9F">
        <w:t>tratégie » (septembre 2023) ;</w:t>
      </w:r>
    </w:p>
    <w:p w14:paraId="0B61D6B4" w14:textId="77777777" w:rsidR="00666805" w:rsidRDefault="00666805" w:rsidP="00666805">
      <w:pPr>
        <w:pStyle w:val="PuceA"/>
        <w:numPr>
          <w:ilvl w:val="0"/>
          <w:numId w:val="23"/>
        </w:numPr>
        <w:spacing w:line="276" w:lineRule="auto"/>
        <w:contextualSpacing/>
      </w:pPr>
      <w:r w:rsidRPr="00BE0B9F">
        <w:t>Un Comité de Pilotage (COPIL) « </w:t>
      </w:r>
      <w:r>
        <w:t>s</w:t>
      </w:r>
      <w:r w:rsidRPr="00BE0B9F">
        <w:t>tratégie » (octobre 2023) ;</w:t>
      </w:r>
    </w:p>
    <w:p w14:paraId="43766193" w14:textId="77777777" w:rsidR="00666805" w:rsidRDefault="00666805" w:rsidP="00666805">
      <w:pPr>
        <w:pStyle w:val="PuceA"/>
        <w:numPr>
          <w:ilvl w:val="0"/>
          <w:numId w:val="23"/>
        </w:numPr>
        <w:spacing w:line="276" w:lineRule="auto"/>
        <w:contextualSpacing/>
      </w:pPr>
      <w:r>
        <w:t xml:space="preserve">Un Conseil Communautaire (novembre 2023) ; </w:t>
      </w:r>
    </w:p>
    <w:p w14:paraId="2F8A285C" w14:textId="77777777" w:rsidR="00666805" w:rsidRPr="00BE0B9F" w:rsidRDefault="00666805" w:rsidP="00666805">
      <w:pPr>
        <w:pStyle w:val="PuceA"/>
        <w:numPr>
          <w:ilvl w:val="0"/>
          <w:numId w:val="23"/>
        </w:numPr>
        <w:spacing w:line="276" w:lineRule="auto"/>
        <w:contextualSpacing/>
      </w:pPr>
      <w:r>
        <w:t>Une réunion publique « stratégie » (décembre 2023) ;</w:t>
      </w:r>
    </w:p>
    <w:p w14:paraId="623B10BC" w14:textId="77777777" w:rsidR="00666805" w:rsidRPr="00CE3534" w:rsidRDefault="00666805" w:rsidP="00666805">
      <w:pPr>
        <w:pStyle w:val="PuceA"/>
        <w:numPr>
          <w:ilvl w:val="0"/>
          <w:numId w:val="23"/>
        </w:numPr>
        <w:spacing w:line="276" w:lineRule="auto"/>
        <w:contextualSpacing/>
      </w:pPr>
      <w:r w:rsidRPr="00CE3534">
        <w:t>Des rencontres et échanges avec les partenaires : la Chambre d’Agriculture de Bretagne sur le secteur Agriculture, la Chambre de Commerce et d'Industrie (CCI), la Chambre de métiers et de l'artisanat (CMA) de Bretagne</w:t>
      </w:r>
      <w:r>
        <w:t>,</w:t>
      </w:r>
      <w:r w:rsidRPr="00CE3534">
        <w:t xml:space="preserve"> le Conseil de développemen</w:t>
      </w:r>
      <w:r>
        <w:t>t, etc</w:t>
      </w:r>
      <w:r w:rsidRPr="00CE3534">
        <w:t>.</w:t>
      </w:r>
    </w:p>
    <w:p w14:paraId="0EFDE8CC" w14:textId="77777777" w:rsidR="00666805" w:rsidRPr="00CE3534" w:rsidRDefault="00666805" w:rsidP="00666805">
      <w:pPr>
        <w:pStyle w:val="QBO-Texte"/>
      </w:pPr>
      <w:r w:rsidRPr="00CE3534">
        <w:t>Les différentes réunions ont fait ressortir les enjeux prioritaires liés à la maîtrise de l’énergie (sobriété et efficacité énergétique), à la réduction des émissions de gaz à effet de serre et au développement des énergies renouvelables et de récupération (ENR&amp;R) afin de substituer les énergies fossiles. Le scénario de la communauté d’agglomération a également fixé, au-delà du volet atténuation, des objectifs qualitatifs d’adaptation du territoire au changement climatique.</w:t>
      </w:r>
    </w:p>
    <w:p w14:paraId="3DD88E2F" w14:textId="77777777" w:rsidR="00666805" w:rsidRPr="001E19D5" w:rsidRDefault="00666805" w:rsidP="00666805">
      <w:pPr>
        <w:pStyle w:val="Titre3"/>
      </w:pPr>
      <w:bookmarkStart w:id="119" w:name="_Toc178258885"/>
      <w:bookmarkStart w:id="120" w:name="_Toc179277434"/>
      <w:r w:rsidRPr="001E19D5">
        <w:t>Apports à la phase « programme d’actions »</w:t>
      </w:r>
      <w:bookmarkEnd w:id="119"/>
      <w:bookmarkEnd w:id="120"/>
    </w:p>
    <w:p w14:paraId="37D38421" w14:textId="77777777" w:rsidR="00666805" w:rsidRPr="001E19D5" w:rsidRDefault="00666805" w:rsidP="00666805">
      <w:pPr>
        <w:pStyle w:val="Titre4"/>
      </w:pPr>
      <w:bookmarkStart w:id="121" w:name="_Toc83048874"/>
      <w:bookmarkStart w:id="122" w:name="_Toc83053094"/>
      <w:r w:rsidRPr="001E19D5">
        <w:t>Ateliers « programme d’actions »</w:t>
      </w:r>
      <w:bookmarkEnd w:id="121"/>
      <w:bookmarkEnd w:id="122"/>
    </w:p>
    <w:p w14:paraId="4880C4C6" w14:textId="77777777" w:rsidR="00666805" w:rsidRPr="00666805" w:rsidRDefault="00666805" w:rsidP="00666805">
      <w:pPr>
        <w:pStyle w:val="QBO-Texte"/>
      </w:pPr>
      <w:r w:rsidRPr="00666805">
        <w:t>La phase d’élaboration du programme d’actions s’est appuyée sur 3 ateliers, chaque atelier concernant une thématique abordant plusieurs secteurs d’activité :</w:t>
      </w:r>
    </w:p>
    <w:p w14:paraId="0F09B128" w14:textId="77777777" w:rsidR="00666805" w:rsidRPr="001E19D5" w:rsidRDefault="00666805" w:rsidP="00666805">
      <w:pPr>
        <w:pStyle w:val="PuceA"/>
        <w:numPr>
          <w:ilvl w:val="0"/>
          <w:numId w:val="23"/>
        </w:numPr>
        <w:spacing w:line="276" w:lineRule="auto"/>
        <w:contextualSpacing/>
      </w:pPr>
      <w:r w:rsidRPr="001E19D5">
        <w:t>Le 18 janvier 2024</w:t>
      </w:r>
      <w:r>
        <w:t xml:space="preserve"> : </w:t>
      </w:r>
      <w:r w:rsidRPr="001E19D5">
        <w:t>Thématique « Activités économiques » au travers de l’agroalimentaire et la production agricole, l’industrie (hors branche énergie), le tertiaire, le transport de marchandises et les déchets industriels ;</w:t>
      </w:r>
    </w:p>
    <w:p w14:paraId="01DDFB1D" w14:textId="77777777" w:rsidR="00666805" w:rsidRPr="001E19D5" w:rsidRDefault="00666805" w:rsidP="00666805">
      <w:pPr>
        <w:pStyle w:val="PuceA"/>
        <w:numPr>
          <w:ilvl w:val="0"/>
          <w:numId w:val="23"/>
        </w:numPr>
        <w:spacing w:line="276" w:lineRule="auto"/>
        <w:contextualSpacing/>
      </w:pPr>
      <w:r w:rsidRPr="001E19D5">
        <w:t>Le 18 janvier 2024</w:t>
      </w:r>
      <w:r>
        <w:t> :</w:t>
      </w:r>
      <w:r w:rsidRPr="001E19D5">
        <w:t xml:space="preserve"> Thématique « Cadre de vie » </w:t>
      </w:r>
      <w:r>
        <w:t xml:space="preserve">regroupant </w:t>
      </w:r>
      <w:r w:rsidRPr="001E19D5">
        <w:t xml:space="preserve">le </w:t>
      </w:r>
      <w:r>
        <w:t xml:space="preserve">secteur </w:t>
      </w:r>
      <w:r w:rsidRPr="001E19D5">
        <w:t>résidentiel, les déchets résidentiels</w:t>
      </w:r>
      <w:r>
        <w:t>,</w:t>
      </w:r>
      <w:r w:rsidRPr="001E19D5">
        <w:t xml:space="preserve"> l’urbanisme, l’alimentation et le transport de personnes ;</w:t>
      </w:r>
    </w:p>
    <w:p w14:paraId="3BF74820" w14:textId="77777777" w:rsidR="00666805" w:rsidRPr="00C34353" w:rsidRDefault="00666805" w:rsidP="00666805">
      <w:pPr>
        <w:pStyle w:val="PuceA"/>
        <w:numPr>
          <w:ilvl w:val="0"/>
          <w:numId w:val="23"/>
        </w:numPr>
        <w:spacing w:line="276" w:lineRule="auto"/>
        <w:contextualSpacing/>
      </w:pPr>
      <w:r w:rsidRPr="001E19D5">
        <w:t>Le 19 janvier 2024</w:t>
      </w:r>
      <w:r>
        <w:t> :</w:t>
      </w:r>
      <w:r w:rsidRPr="001E19D5">
        <w:t xml:space="preserve"> Thématique « Adaptation au changement climatique » avec le</w:t>
      </w:r>
      <w:r>
        <w:t>s secteurs</w:t>
      </w:r>
      <w:r w:rsidRPr="001E19D5">
        <w:t xml:space="preserve"> résidentiel, tertiaire,</w:t>
      </w:r>
      <w:r>
        <w:t xml:space="preserve"> et </w:t>
      </w:r>
      <w:r w:rsidRPr="001E19D5">
        <w:t xml:space="preserve">industrie (hors branche énergie), l’agroalimentaire et </w:t>
      </w:r>
      <w:r w:rsidRPr="00C34353">
        <w:t xml:space="preserve">la </w:t>
      </w:r>
      <w:r w:rsidRPr="001E19D5">
        <w:t>production agricole</w:t>
      </w:r>
      <w:r w:rsidRPr="00C34353">
        <w:t>, ainsi que la s</w:t>
      </w:r>
      <w:r w:rsidRPr="001E19D5">
        <w:t>équestration carbone</w:t>
      </w:r>
      <w:r w:rsidRPr="00C34353">
        <w:t>.</w:t>
      </w:r>
    </w:p>
    <w:p w14:paraId="22DCE606" w14:textId="77777777" w:rsidR="00666805" w:rsidRPr="00682D36" w:rsidRDefault="00666805" w:rsidP="00666805">
      <w:pPr>
        <w:pStyle w:val="QBO-Texte"/>
      </w:pPr>
      <w:r w:rsidRPr="00682D36">
        <w:rPr>
          <w:noProof/>
        </w:rPr>
        <w:lastRenderedPageBreak/>
        <w:drawing>
          <wp:anchor distT="0" distB="0" distL="114300" distR="114300" simplePos="0" relativeHeight="252818432" behindDoc="0" locked="0" layoutInCell="1" allowOverlap="1" wp14:anchorId="09932BA9" wp14:editId="6DFEB1C8">
            <wp:simplePos x="0" y="0"/>
            <wp:positionH relativeFrom="column">
              <wp:posOffset>26035</wp:posOffset>
            </wp:positionH>
            <wp:positionV relativeFrom="paragraph">
              <wp:posOffset>678180</wp:posOffset>
            </wp:positionV>
            <wp:extent cx="2705100" cy="2155825"/>
            <wp:effectExtent l="38100" t="38100" r="95250" b="92075"/>
            <wp:wrapSquare wrapText="bothSides"/>
            <wp:docPr id="916594278" name="Image 17" descr="Une image contenant intérieur, habits, mur,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594278" name="Image 17" descr="Une image contenant intérieur, habits, mur, homme&#10;&#10;Description générée automatiquement"/>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7190" r="22265"/>
                    <a:stretch/>
                  </pic:blipFill>
                  <pic:spPr bwMode="auto">
                    <a:xfrm>
                      <a:off x="0" y="0"/>
                      <a:ext cx="2705100" cy="215582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2D36">
        <w:t>Ces différents ateliers ont réuni chacun en moyenne une vingtaine de personnes selon les thématiques, réparties entre élus et techniciens de la collectivité, acteurs locaux (partenaires institutionnels, associations, entreprises, etc.) et habitants.</w:t>
      </w:r>
    </w:p>
    <w:p w14:paraId="0F7142B5" w14:textId="77777777" w:rsidR="00666805" w:rsidRDefault="00666805" w:rsidP="00666805">
      <w:pPr>
        <w:rPr>
          <w:highlight w:val="yellow"/>
        </w:rPr>
      </w:pPr>
    </w:p>
    <w:p w14:paraId="0718DB05" w14:textId="77777777" w:rsidR="00666805" w:rsidRDefault="00666805" w:rsidP="00666805">
      <w:pPr>
        <w:rPr>
          <w:highlight w:val="yellow"/>
        </w:rPr>
      </w:pPr>
      <w:r w:rsidRPr="001E19D5">
        <w:rPr>
          <w:noProof/>
          <w:highlight w:val="yellow"/>
        </w:rPr>
        <w:drawing>
          <wp:anchor distT="0" distB="0" distL="114300" distR="114300" simplePos="0" relativeHeight="252817408" behindDoc="0" locked="0" layoutInCell="1" allowOverlap="1" wp14:anchorId="5EF7391F" wp14:editId="4D5730A7">
            <wp:simplePos x="0" y="0"/>
            <wp:positionH relativeFrom="column">
              <wp:posOffset>2130425</wp:posOffset>
            </wp:positionH>
            <wp:positionV relativeFrom="paragraph">
              <wp:posOffset>387350</wp:posOffset>
            </wp:positionV>
            <wp:extent cx="3601720" cy="2025650"/>
            <wp:effectExtent l="38100" t="38100" r="93980" b="88900"/>
            <wp:wrapSquare wrapText="bothSides"/>
            <wp:docPr id="527531276" name="Image 19" descr="Une image contenant habits, intérieur, tabl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31276" name="Image 19" descr="Une image contenant habits, intérieur, table, personne&#10;&#10;Description générée automatiquemen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01720" cy="202565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F970A4F" w14:textId="77777777" w:rsidR="00666805" w:rsidRDefault="00666805" w:rsidP="00666805">
      <w:pPr>
        <w:rPr>
          <w:highlight w:val="yellow"/>
        </w:rPr>
      </w:pPr>
    </w:p>
    <w:p w14:paraId="40735B15" w14:textId="77777777" w:rsidR="00666805" w:rsidRDefault="00666805" w:rsidP="00666805">
      <w:pPr>
        <w:rPr>
          <w:highlight w:val="yellow"/>
        </w:rPr>
      </w:pPr>
    </w:p>
    <w:p w14:paraId="2479FB10" w14:textId="5074CB96" w:rsidR="00666805" w:rsidRPr="00C70E7C" w:rsidRDefault="00666805" w:rsidP="00666805">
      <w:pPr>
        <w:pStyle w:val="QBO-Lgende"/>
      </w:pPr>
      <w:r w:rsidRPr="00C70E7C">
        <w:t xml:space="preserve">Figure </w:t>
      </w:r>
      <w:r>
        <w:fldChar w:fldCharType="begin"/>
      </w:r>
      <w:r>
        <w:instrText xml:space="preserve"> SEQ Figure \* ARABIC </w:instrText>
      </w:r>
      <w:r>
        <w:fldChar w:fldCharType="separate"/>
      </w:r>
      <w:r w:rsidR="007F7541">
        <w:rPr>
          <w:noProof/>
        </w:rPr>
        <w:t>12</w:t>
      </w:r>
      <w:r>
        <w:rPr>
          <w:noProof/>
        </w:rPr>
        <w:fldChar w:fldCharType="end"/>
      </w:r>
      <w:r w:rsidRPr="00C70E7C">
        <w:t xml:space="preserve"> : </w:t>
      </w:r>
      <w:r>
        <w:t xml:space="preserve">Photos prises lors des ateliers programme d’actions </w:t>
      </w:r>
    </w:p>
    <w:p w14:paraId="76A164C2" w14:textId="77777777" w:rsidR="00666805" w:rsidRPr="00247934" w:rsidRDefault="00666805" w:rsidP="00666805">
      <w:pPr>
        <w:pStyle w:val="QBO-Sources"/>
        <w:rPr>
          <w:i/>
          <w:iCs/>
        </w:rPr>
      </w:pPr>
      <w:r w:rsidRPr="00247934">
        <w:t>Source : Alterea</w:t>
      </w:r>
    </w:p>
    <w:p w14:paraId="28A35F6A" w14:textId="77777777" w:rsidR="00666805" w:rsidRPr="00682D36" w:rsidRDefault="00666805" w:rsidP="00666805">
      <w:pPr>
        <w:pStyle w:val="QBO-Texte"/>
      </w:pPr>
      <w:r w:rsidRPr="00682D36">
        <w:t xml:space="preserve">L’objectif des ateliers </w:t>
      </w:r>
      <w:r>
        <w:t>étai</w:t>
      </w:r>
      <w:r w:rsidRPr="00682D36">
        <w:t xml:space="preserve">t de définir collectivement </w:t>
      </w:r>
      <w:r>
        <w:t>les</w:t>
      </w:r>
      <w:r w:rsidRPr="00682D36">
        <w:t xml:space="preserve"> actions à déployer sur le territoire pour permettre l’atteinte de la stratégie.</w:t>
      </w:r>
      <w:r w:rsidRPr="00682D36">
        <w:rPr>
          <w:rFonts w:ascii="Times New Roman" w:eastAsia="Times New Roman" w:hAnsi="Times New Roman" w:cs="Times New Roman"/>
          <w:b/>
          <w:bCs/>
          <w:caps/>
          <w:kern w:val="0"/>
          <w:lang w:eastAsia="fr-FR"/>
          <w14:ligatures w14:val="none"/>
        </w:rPr>
        <w:t xml:space="preserve"> </w:t>
      </w:r>
    </w:p>
    <w:p w14:paraId="1E901F94" w14:textId="77777777" w:rsidR="00666805" w:rsidRPr="00682D36" w:rsidRDefault="00666805" w:rsidP="00666805">
      <w:pPr>
        <w:pStyle w:val="QBO-Texte"/>
      </w:pPr>
      <w:r w:rsidRPr="00682D36">
        <w:t>Lors de chaque atelier, l’historique de la démarche, les objectifs liés à chaque axe ainsi que des éléments de contexte ont été rappelés. Les participants ont ensuite été répartis par groupe sur chaque thématique étudiée. Des post-it ont été fournis à chacun des participants afin qu’ils puissent réfléchir individuellement et donner leurs idées d’actions concernant les orientations de la thématique présentée et de chaque enjeu associé. Les différentes idées sont ensuite mises en commun puis hiérarchisée</w:t>
      </w:r>
      <w:r>
        <w:t>s</w:t>
      </w:r>
      <w:r w:rsidRPr="00682D36">
        <w:t xml:space="preserve"> afin de retenir les actions </w:t>
      </w:r>
      <w:r>
        <w:t xml:space="preserve">prioritaires </w:t>
      </w:r>
      <w:r w:rsidRPr="00682D36">
        <w:t>à intégrer au sein du programme d’actions du PCAET. Ensuite, ces actions ont été discutées par les participants afin de réfléchir à la description de l’action, les partenaires à mobiliser et le calendrier par exemple.</w:t>
      </w:r>
    </w:p>
    <w:p w14:paraId="1A1841D7" w14:textId="77777777" w:rsidR="00666805" w:rsidRPr="00682D36" w:rsidRDefault="00666805" w:rsidP="00666805">
      <w:pPr>
        <w:pStyle w:val="QBO-Texte"/>
      </w:pPr>
      <w:r w:rsidRPr="00682D36">
        <w:t xml:space="preserve">L’ensemble des pistes d’actions proposées ont servi de base de travail pour l’élaboration du programme d’actions du PCAET. Un travail important de restructuration et de regroupement a été effectué afin d’avoir une vue d’ensemble plus transversale entre toutes les pistes proposées. </w:t>
      </w:r>
    </w:p>
    <w:p w14:paraId="2FA29D1D" w14:textId="77777777" w:rsidR="00666805" w:rsidRDefault="00666805" w:rsidP="00666805">
      <w:pPr>
        <w:pStyle w:val="Titre4"/>
      </w:pPr>
      <w:r>
        <w:t>Réunions « programme d’actions »</w:t>
      </w:r>
    </w:p>
    <w:p w14:paraId="0C722A5E" w14:textId="77777777" w:rsidR="00666805" w:rsidRDefault="00666805" w:rsidP="00666805">
      <w:pPr>
        <w:pStyle w:val="QBO-Texte"/>
      </w:pPr>
      <w:r>
        <w:t xml:space="preserve">Tout comme pour la phase stratégie du PCAET, la phase programme d’actions a été ponctuée de plusieurs réunions : </w:t>
      </w:r>
    </w:p>
    <w:p w14:paraId="12D020E8" w14:textId="77777777" w:rsidR="00666805" w:rsidRDefault="00666805" w:rsidP="00666805">
      <w:pPr>
        <w:pStyle w:val="PuceA"/>
        <w:numPr>
          <w:ilvl w:val="0"/>
          <w:numId w:val="23"/>
        </w:numPr>
        <w:spacing w:line="276" w:lineRule="auto"/>
        <w:contextualSpacing/>
      </w:pPr>
      <w:r w:rsidRPr="00BE0B9F">
        <w:t>Un Comité Technique (COTECH) « </w:t>
      </w:r>
      <w:r>
        <w:t>programme</w:t>
      </w:r>
      <w:r w:rsidRPr="00BE0B9F">
        <w:t> </w:t>
      </w:r>
      <w:r>
        <w:t xml:space="preserve">d’actions </w:t>
      </w:r>
      <w:r w:rsidRPr="00BE0B9F">
        <w:t>» (</w:t>
      </w:r>
      <w:r>
        <w:t>avril 2024</w:t>
      </w:r>
      <w:r w:rsidRPr="00BE0B9F">
        <w:t>)</w:t>
      </w:r>
      <w:r>
        <w:t xml:space="preserve"> ; </w:t>
      </w:r>
    </w:p>
    <w:p w14:paraId="558B2611" w14:textId="77777777" w:rsidR="00666805" w:rsidRDefault="00666805" w:rsidP="00666805">
      <w:pPr>
        <w:pStyle w:val="PuceA"/>
        <w:numPr>
          <w:ilvl w:val="0"/>
          <w:numId w:val="23"/>
        </w:numPr>
        <w:spacing w:line="276" w:lineRule="auto"/>
        <w:contextualSpacing/>
      </w:pPr>
      <w:r>
        <w:t>Deux</w:t>
      </w:r>
      <w:r w:rsidRPr="00F344A3">
        <w:t xml:space="preserve"> Comité</w:t>
      </w:r>
      <w:r>
        <w:t>s</w:t>
      </w:r>
      <w:r w:rsidRPr="00F344A3">
        <w:t xml:space="preserve"> de Pilotage (COPIL) « </w:t>
      </w:r>
      <w:r>
        <w:t>programme</w:t>
      </w:r>
      <w:r w:rsidRPr="00BE0B9F">
        <w:t> </w:t>
      </w:r>
      <w:r>
        <w:t>d’actions</w:t>
      </w:r>
      <w:r w:rsidRPr="00F344A3">
        <w:t xml:space="preserve"> » (</w:t>
      </w:r>
      <w:r>
        <w:t>mai et octobre 2024</w:t>
      </w:r>
      <w:r w:rsidRPr="00F344A3">
        <w:t>)</w:t>
      </w:r>
      <w:r>
        <w:t> ;</w:t>
      </w:r>
    </w:p>
    <w:p w14:paraId="56404672" w14:textId="77777777" w:rsidR="00666805" w:rsidRPr="00CE3534" w:rsidRDefault="00666805" w:rsidP="00666805">
      <w:pPr>
        <w:pStyle w:val="PuceA"/>
        <w:numPr>
          <w:ilvl w:val="0"/>
          <w:numId w:val="23"/>
        </w:numPr>
        <w:spacing w:line="276" w:lineRule="auto"/>
        <w:contextualSpacing/>
      </w:pPr>
      <w:r w:rsidRPr="00CE3534">
        <w:t>Des rencontres et échanges avec les partenaires : la Chambre d’Agriculture de Bretagne sur le secteur Agriculture, la Chambre de Commerce et d'Industrie (CCI), la Chambre de métiers et de l'artisanat (CMA) de Bretagne</w:t>
      </w:r>
      <w:r>
        <w:t>, etc</w:t>
      </w:r>
      <w:r w:rsidRPr="00CE3534">
        <w:t>.</w:t>
      </w:r>
    </w:p>
    <w:p w14:paraId="7ADB6F4F" w14:textId="77777777" w:rsidR="00666805" w:rsidRPr="007D50A5" w:rsidRDefault="00666805" w:rsidP="00666805">
      <w:pPr>
        <w:pStyle w:val="Titre2"/>
      </w:pPr>
      <w:bookmarkStart w:id="123" w:name="_Toc83048876"/>
      <w:bookmarkStart w:id="124" w:name="_Toc99708022"/>
      <w:bookmarkStart w:id="125" w:name="_Toc178258886"/>
      <w:bookmarkStart w:id="126" w:name="_Toc179277435"/>
      <w:r w:rsidRPr="007D50A5">
        <w:t xml:space="preserve">Comité </w:t>
      </w:r>
      <w:r>
        <w:t>T</w:t>
      </w:r>
      <w:r w:rsidRPr="007D50A5">
        <w:t xml:space="preserve">echnique (COTECH) et Comité de </w:t>
      </w:r>
      <w:r>
        <w:t>P</w:t>
      </w:r>
      <w:r w:rsidRPr="007D50A5">
        <w:t>ilotage (COPIL)</w:t>
      </w:r>
      <w:bookmarkEnd w:id="123"/>
      <w:bookmarkEnd w:id="124"/>
      <w:bookmarkEnd w:id="125"/>
      <w:bookmarkEnd w:id="126"/>
    </w:p>
    <w:p w14:paraId="4F4A191E" w14:textId="77777777" w:rsidR="00666805" w:rsidRPr="007D50A5" w:rsidRDefault="00666805" w:rsidP="00666805">
      <w:pPr>
        <w:pStyle w:val="Titre3"/>
      </w:pPr>
      <w:bookmarkStart w:id="127" w:name="_Toc83048877"/>
      <w:bookmarkStart w:id="128" w:name="_Toc99708023"/>
      <w:bookmarkStart w:id="129" w:name="_Toc178258887"/>
      <w:bookmarkStart w:id="130" w:name="_Toc179277436"/>
      <w:r w:rsidRPr="007D50A5">
        <w:t>Les modalités</w:t>
      </w:r>
      <w:bookmarkEnd w:id="127"/>
      <w:bookmarkEnd w:id="128"/>
      <w:bookmarkEnd w:id="129"/>
      <w:bookmarkEnd w:id="130"/>
      <w:r w:rsidRPr="007D50A5">
        <w:t xml:space="preserve"> </w:t>
      </w:r>
    </w:p>
    <w:p w14:paraId="68B271A2" w14:textId="77777777" w:rsidR="00666805" w:rsidRPr="00682D36" w:rsidRDefault="00666805" w:rsidP="00666805">
      <w:pPr>
        <w:pStyle w:val="QBO-Texte"/>
      </w:pPr>
      <w:r w:rsidRPr="00682D36">
        <w:t xml:space="preserve">Les comités techniques ont pour but de réunir les services techniques du PCAET afin de suivre l’avancée du projet. Ainsi, ils permettent de préparer les passages en </w:t>
      </w:r>
      <w:r>
        <w:t>comité de pilotage</w:t>
      </w:r>
      <w:r w:rsidRPr="00682D36">
        <w:t xml:space="preserve"> qui eux valident les </w:t>
      </w:r>
      <w:r w:rsidRPr="00682D36">
        <w:lastRenderedPageBreak/>
        <w:t>orientations prises. Les COTECH ont, à cet égard, pleinement contribué à l’élaboration de la stratégie et du programme d’actions du PCAET.</w:t>
      </w:r>
    </w:p>
    <w:p w14:paraId="20BE369C" w14:textId="77777777" w:rsidR="00666805" w:rsidRPr="00682D36" w:rsidRDefault="00666805" w:rsidP="00666805">
      <w:pPr>
        <w:pStyle w:val="QBO-Texte"/>
      </w:pPr>
      <w:r w:rsidRPr="00682D36">
        <w:t>Les comités de pilotage réunissent quant à eux les élus référents PCAET afin de débattre et de valider les orientations prises dans le cadre du PCAET.</w:t>
      </w:r>
    </w:p>
    <w:p w14:paraId="3C41C195" w14:textId="77777777" w:rsidR="00666805" w:rsidRPr="00F344A3" w:rsidRDefault="00666805" w:rsidP="00666805">
      <w:pPr>
        <w:pStyle w:val="QBO-Texte"/>
      </w:pPr>
      <w:r w:rsidRPr="00682D36">
        <w:t xml:space="preserve">Plusieurs COTECH et COPIL se sont </w:t>
      </w:r>
      <w:r w:rsidRPr="00F344A3">
        <w:t>tenus au fil de la démarche d’élaboration.</w:t>
      </w:r>
    </w:p>
    <w:p w14:paraId="41AC52D6" w14:textId="77777777" w:rsidR="00666805" w:rsidRPr="00F344A3" w:rsidRDefault="00666805" w:rsidP="00666805">
      <w:pPr>
        <w:pStyle w:val="Titre3"/>
        <w:jc w:val="both"/>
      </w:pPr>
      <w:bookmarkStart w:id="131" w:name="_Toc83048878"/>
      <w:bookmarkStart w:id="132" w:name="_Toc99708024"/>
      <w:bookmarkStart w:id="133" w:name="_Toc178258888"/>
      <w:bookmarkStart w:id="134" w:name="_Toc179277437"/>
      <w:r w:rsidRPr="00F344A3">
        <w:t>Remarques et Apports des COTECH et COPIL à la construction du PCAET</w:t>
      </w:r>
      <w:bookmarkEnd w:id="131"/>
      <w:bookmarkEnd w:id="132"/>
      <w:bookmarkEnd w:id="133"/>
      <w:bookmarkEnd w:id="134"/>
    </w:p>
    <w:p w14:paraId="0AF2B031" w14:textId="77777777" w:rsidR="00666805" w:rsidRPr="00F344A3" w:rsidRDefault="00666805" w:rsidP="00666805">
      <w:pPr>
        <w:pStyle w:val="QBO-Texte"/>
      </w:pPr>
      <w:r w:rsidRPr="00F344A3">
        <w:t xml:space="preserve">Les COTECH et COPIL réalisés ont permis de caler les temps de réunion et la concertation du PCAET, mais aussi de débattre des scénarios de travail, des propositions issues des ateliers et des moyens alloués au PCAET. </w:t>
      </w:r>
    </w:p>
    <w:p w14:paraId="1B5DF01D" w14:textId="77777777" w:rsidR="00666805" w:rsidRDefault="00666805" w:rsidP="00666805">
      <w:pPr>
        <w:pStyle w:val="QBO-Texte"/>
      </w:pPr>
      <w:r w:rsidRPr="00F344A3">
        <w:t>L’ensemble des évolutions entre les documents de travail et les versions finalisées des différentes pièces du PCAET (Diagnostic, Stratégie, Programme d’Action</w:t>
      </w:r>
      <w:r>
        <w:t>s</w:t>
      </w:r>
      <w:r w:rsidRPr="00F344A3">
        <w:t>) résultent ainsi des échanges réalisés dans le cadre de ces réunions.</w:t>
      </w:r>
      <w:r w:rsidRPr="00207AB1">
        <w:t xml:space="preserve"> </w:t>
      </w:r>
    </w:p>
    <w:p w14:paraId="1D6FF50A" w14:textId="66EEDBE9" w:rsidR="00C57179" w:rsidRPr="001E19D5" w:rsidRDefault="00C57179" w:rsidP="00C57179">
      <w:pPr>
        <w:tabs>
          <w:tab w:val="center" w:pos="4535"/>
        </w:tabs>
      </w:pPr>
    </w:p>
    <w:sectPr w:rsidR="00C57179" w:rsidRPr="001E19D5">
      <w:pgSz w:w="11906" w:h="16838"/>
      <w:pgMar w:top="1134" w:right="1134" w:bottom="1134" w:left="1134" w:header="567" w:footer="567" w:gutter="34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739D3D" w14:textId="77777777" w:rsidR="001A3274" w:rsidRDefault="001A3274">
      <w:pPr>
        <w:spacing w:line="240" w:lineRule="auto"/>
      </w:pPr>
      <w:r>
        <w:separator/>
      </w:r>
    </w:p>
  </w:endnote>
  <w:endnote w:type="continuationSeparator" w:id="0">
    <w:p w14:paraId="5EB18004" w14:textId="77777777" w:rsidR="001A3274" w:rsidRDefault="001A32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Gras">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Eurostile Bold">
    <w:altName w:val="Agency FB"/>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Eurostile LT Pro">
    <w:altName w:val="Agency FB"/>
    <w:panose1 w:val="00000000000000000000"/>
    <w:charset w:val="00"/>
    <w:family w:val="swiss"/>
    <w:notTrueType/>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4E62E" w14:textId="77777777" w:rsidR="001A3274" w:rsidRDefault="001A3274">
    <w:pPr>
      <w:pBdr>
        <w:top w:val="single" w:sz="4" w:space="1" w:color="F3C345"/>
      </w:pBdr>
      <w:tabs>
        <w:tab w:val="center" w:pos="4536"/>
        <w:tab w:val="right" w:pos="9072"/>
      </w:tabs>
      <w:spacing w:line="240" w:lineRule="auto"/>
      <w:rPr>
        <w:rFonts w:cstheme="minorHAnsi"/>
        <w:b/>
        <w:color w:val="605C5B"/>
        <w:sz w:val="18"/>
        <w:szCs w:val="18"/>
      </w:rPr>
    </w:pPr>
    <w:r>
      <w:rPr>
        <w:rFonts w:cstheme="minorHAnsi"/>
        <w:b/>
        <w:color w:val="605C5B" w:themeColor="text1"/>
        <w:sz w:val="18"/>
        <w:szCs w:val="18"/>
      </w:rPr>
      <w:t xml:space="preserve">Siège et agence </w:t>
    </w:r>
    <w:proofErr w:type="spellStart"/>
    <w:r>
      <w:rPr>
        <w:rFonts w:cstheme="minorHAnsi"/>
        <w:b/>
        <w:color w:val="605C5B" w:themeColor="text1"/>
        <w:sz w:val="18"/>
        <w:szCs w:val="18"/>
      </w:rPr>
      <w:t>OuestAgence</w:t>
    </w:r>
    <w:proofErr w:type="spellEnd"/>
    <w:r>
      <w:rPr>
        <w:rFonts w:cstheme="minorHAnsi"/>
        <w:b/>
        <w:color w:val="605C5B" w:themeColor="text1"/>
        <w:sz w:val="18"/>
        <w:szCs w:val="18"/>
      </w:rPr>
      <w:t xml:space="preserve"> de Paris – </w:t>
    </w:r>
    <w:proofErr w:type="spellStart"/>
    <w:r>
      <w:rPr>
        <w:rFonts w:cstheme="minorHAnsi"/>
        <w:b/>
        <w:color w:val="605C5B" w:themeColor="text1"/>
        <w:sz w:val="18"/>
        <w:szCs w:val="18"/>
      </w:rPr>
      <w:t>Idf</w:t>
    </w:r>
    <w:proofErr w:type="spellEnd"/>
    <w:r>
      <w:rPr>
        <w:rFonts w:cstheme="minorHAnsi"/>
        <w:b/>
        <w:color w:val="605C5B" w:themeColor="text1"/>
        <w:sz w:val="18"/>
        <w:szCs w:val="18"/>
      </w:rPr>
      <w:tab/>
      <w:t>Agence Nord</w:t>
    </w:r>
  </w:p>
  <w:p w14:paraId="2D2F52D8" w14:textId="77777777" w:rsidR="001A3274" w:rsidRDefault="001A3274">
    <w:pPr>
      <w:pBdr>
        <w:top w:val="single" w:sz="4" w:space="1" w:color="F3C345"/>
      </w:pBdr>
      <w:tabs>
        <w:tab w:val="center" w:pos="4536"/>
        <w:tab w:val="right" w:pos="9072"/>
      </w:tabs>
      <w:spacing w:line="240" w:lineRule="auto"/>
      <w:rPr>
        <w:rFonts w:cstheme="minorHAnsi"/>
        <w:b/>
        <w:color w:val="605C5B"/>
        <w:sz w:val="18"/>
        <w:szCs w:val="18"/>
      </w:rPr>
    </w:pPr>
    <w:r>
      <w:rPr>
        <w:rFonts w:cstheme="minorHAnsi"/>
        <w:b/>
        <w:color w:val="605C5B" w:themeColor="text1"/>
        <w:sz w:val="18"/>
        <w:szCs w:val="18"/>
      </w:rPr>
      <w:t>26 bd Vincent Gâche</w:t>
    </w:r>
    <w:r>
      <w:rPr>
        <w:rFonts w:cstheme="minorHAnsi"/>
        <w:b/>
        <w:color w:val="605C5B" w:themeColor="text1"/>
        <w:sz w:val="18"/>
        <w:szCs w:val="18"/>
      </w:rPr>
      <w:tab/>
      <w:t>3 rue Rondelet</w:t>
    </w:r>
    <w:r>
      <w:rPr>
        <w:rFonts w:cstheme="minorHAnsi"/>
        <w:b/>
        <w:color w:val="605C5B" w:themeColor="text1"/>
        <w:sz w:val="18"/>
        <w:szCs w:val="18"/>
      </w:rPr>
      <w:tab/>
      <w:t>12-14 rue Faidherbe</w:t>
    </w:r>
  </w:p>
  <w:p w14:paraId="0B8A041C" w14:textId="77777777" w:rsidR="001A3274" w:rsidRDefault="001A3274">
    <w:pPr>
      <w:pBdr>
        <w:top w:val="single" w:sz="4" w:space="1" w:color="F3C345"/>
      </w:pBdr>
      <w:tabs>
        <w:tab w:val="center" w:pos="4536"/>
        <w:tab w:val="right" w:pos="9072"/>
      </w:tabs>
      <w:spacing w:line="240" w:lineRule="auto"/>
      <w:rPr>
        <w:rFonts w:cstheme="minorHAnsi"/>
        <w:b/>
        <w:color w:val="605C5B"/>
        <w:sz w:val="18"/>
        <w:szCs w:val="18"/>
      </w:rPr>
    </w:pPr>
    <w:r>
      <w:rPr>
        <w:rFonts w:cstheme="minorHAnsi"/>
        <w:b/>
        <w:color w:val="605C5B" w:themeColor="text1"/>
        <w:sz w:val="18"/>
        <w:szCs w:val="18"/>
      </w:rPr>
      <w:t>44275 Nantes</w:t>
    </w:r>
    <w:r>
      <w:rPr>
        <w:rFonts w:cstheme="minorHAnsi"/>
        <w:b/>
        <w:color w:val="605C5B" w:themeColor="text1"/>
        <w:sz w:val="18"/>
        <w:szCs w:val="18"/>
      </w:rPr>
      <w:tab/>
      <w:t>75012 Paris</w:t>
    </w:r>
    <w:r>
      <w:rPr>
        <w:rFonts w:cstheme="minorHAnsi"/>
        <w:b/>
        <w:color w:val="605C5B" w:themeColor="text1"/>
        <w:sz w:val="18"/>
        <w:szCs w:val="18"/>
      </w:rPr>
      <w:tab/>
      <w:t>59000 Lille</w:t>
    </w:r>
  </w:p>
  <w:p w14:paraId="48CC5F44" w14:textId="77777777" w:rsidR="001A3274" w:rsidRDefault="001A3274">
    <w:pPr>
      <w:pBdr>
        <w:top w:val="single" w:sz="4" w:space="1" w:color="F3C345"/>
      </w:pBdr>
      <w:tabs>
        <w:tab w:val="center" w:pos="4536"/>
        <w:tab w:val="left" w:pos="7016"/>
        <w:tab w:val="right" w:pos="9072"/>
      </w:tabs>
      <w:spacing w:line="240" w:lineRule="auto"/>
      <w:rPr>
        <w:b/>
        <w:bCs/>
        <w:color w:val="605C5B"/>
        <w:sz w:val="18"/>
        <w:szCs w:val="18"/>
      </w:rPr>
    </w:pPr>
    <w:r>
      <w:rPr>
        <w:rFonts w:cstheme="minorHAnsi"/>
        <w:b/>
        <w:color w:val="605C5B" w:themeColor="text1"/>
        <w:sz w:val="18"/>
        <w:szCs w:val="18"/>
        <w:shd w:val="clear" w:color="auto" w:fill="F3C345"/>
      </w:rPr>
      <w:t xml:space="preserve"> T </w:t>
    </w:r>
    <w:r>
      <w:rPr>
        <w:rFonts w:cstheme="minorHAnsi"/>
        <w:b/>
        <w:color w:val="605C5B" w:themeColor="text1"/>
        <w:sz w:val="18"/>
        <w:szCs w:val="18"/>
      </w:rPr>
      <w:t>02.40.74.24.81</w:t>
    </w:r>
    <w:r>
      <w:rPr>
        <w:b/>
        <w:bCs/>
        <w:color w:val="605C5B" w:themeColor="text1"/>
        <w:sz w:val="18"/>
        <w:szCs w:val="18"/>
      </w:rPr>
      <w:tab/>
    </w:r>
    <w:r>
      <w:rPr>
        <w:rFonts w:cstheme="minorHAnsi"/>
        <w:b/>
        <w:color w:val="605C5B" w:themeColor="text1"/>
        <w:sz w:val="18"/>
        <w:szCs w:val="18"/>
        <w:shd w:val="clear" w:color="auto" w:fill="F3C345"/>
      </w:rPr>
      <w:t xml:space="preserve"> T </w:t>
    </w:r>
    <w:r>
      <w:rPr>
        <w:b/>
        <w:bCs/>
        <w:color w:val="605C5B" w:themeColor="text1"/>
        <w:sz w:val="18"/>
        <w:szCs w:val="18"/>
      </w:rPr>
      <w:t>01.46.28.31.89</w:t>
    </w:r>
    <w:r>
      <w:rPr>
        <w:b/>
        <w:bCs/>
        <w:color w:val="605C5B" w:themeColor="text1"/>
        <w:sz w:val="18"/>
        <w:szCs w:val="18"/>
      </w:rPr>
      <w:tab/>
    </w:r>
    <w:r>
      <w:rPr>
        <w:b/>
        <w:bCs/>
        <w:color w:val="605C5B" w:themeColor="text1"/>
        <w:sz w:val="18"/>
        <w:szCs w:val="18"/>
      </w:rPr>
      <w:tab/>
    </w:r>
    <w:r>
      <w:rPr>
        <w:rFonts w:cstheme="minorHAnsi"/>
        <w:b/>
        <w:color w:val="605C5B" w:themeColor="text1"/>
        <w:sz w:val="18"/>
        <w:szCs w:val="18"/>
        <w:shd w:val="clear" w:color="auto" w:fill="F3C345"/>
      </w:rPr>
      <w:t xml:space="preserve"> T </w:t>
    </w:r>
    <w:r>
      <w:rPr>
        <w:b/>
        <w:bCs/>
        <w:color w:val="605C5B" w:themeColor="text1"/>
        <w:sz w:val="18"/>
        <w:szCs w:val="18"/>
      </w:rPr>
      <w:t>03.59.54.21.08</w:t>
    </w:r>
  </w:p>
  <w:p w14:paraId="636F9D46" w14:textId="77777777" w:rsidR="001A3274" w:rsidRDefault="001A3274">
    <w:pPr>
      <w:pBdr>
        <w:top w:val="single" w:sz="4" w:space="1" w:color="F3C345"/>
      </w:pBdr>
      <w:tabs>
        <w:tab w:val="center" w:pos="4536"/>
        <w:tab w:val="right" w:pos="9072"/>
      </w:tabs>
      <w:spacing w:line="240" w:lineRule="auto"/>
      <w:rPr>
        <w:b/>
        <w:bCs/>
        <w:color w:val="605C5B"/>
        <w:sz w:val="18"/>
        <w:szCs w:val="18"/>
      </w:rPr>
    </w:pPr>
    <w:r>
      <w:rPr>
        <w:rFonts w:cstheme="minorHAnsi"/>
        <w:b/>
        <w:color w:val="605C5B" w:themeColor="text1"/>
        <w:sz w:val="18"/>
        <w:szCs w:val="18"/>
        <w:shd w:val="clear" w:color="auto" w:fill="F3C345"/>
      </w:rPr>
      <w:t xml:space="preserve"> F </w:t>
    </w:r>
    <w:r>
      <w:rPr>
        <w:rFonts w:cstheme="minorHAnsi"/>
        <w:b/>
        <w:color w:val="605C5B" w:themeColor="text1"/>
        <w:sz w:val="18"/>
        <w:szCs w:val="18"/>
      </w:rPr>
      <w:t>02.51.84.16.33</w:t>
    </w:r>
    <w:r>
      <w:rPr>
        <w:rFonts w:cstheme="minorHAnsi"/>
        <w:b/>
        <w:color w:val="605C5B" w:themeColor="text1"/>
        <w:sz w:val="18"/>
        <w:szCs w:val="18"/>
        <w:shd w:val="clear" w:color="auto" w:fill="F3C345"/>
      </w:rPr>
      <w:t xml:space="preserve"> F </w:t>
    </w:r>
    <w:r>
      <w:rPr>
        <w:rFonts w:cstheme="minorHAnsi"/>
        <w:b/>
        <w:color w:val="605C5B" w:themeColor="text1"/>
        <w:sz w:val="18"/>
        <w:szCs w:val="18"/>
      </w:rPr>
      <w:t>02.51.84.16.33</w:t>
    </w:r>
    <w:r>
      <w:rPr>
        <w:rFonts w:cstheme="minorHAnsi"/>
        <w:b/>
        <w:color w:val="605C5B" w:themeColor="text1"/>
        <w:sz w:val="18"/>
        <w:szCs w:val="18"/>
        <w:shd w:val="clear" w:color="auto" w:fill="F3C345" w:themeFill="accent1"/>
      </w:rPr>
      <w:t xml:space="preserve"> </w:t>
    </w:r>
    <w:r>
      <w:rPr>
        <w:rFonts w:cstheme="minorHAnsi"/>
        <w:b/>
        <w:color w:val="605C5B" w:themeColor="text1"/>
        <w:sz w:val="18"/>
        <w:szCs w:val="18"/>
        <w:shd w:val="clear" w:color="auto" w:fill="F3C345"/>
      </w:rPr>
      <w:t xml:space="preserve">F </w:t>
    </w:r>
    <w:r>
      <w:rPr>
        <w:rFonts w:cstheme="minorHAnsi"/>
        <w:b/>
        <w:color w:val="605C5B" w:themeColor="text1"/>
        <w:sz w:val="18"/>
        <w:szCs w:val="18"/>
      </w:rPr>
      <w:t>02.51.84.16.33</w:t>
    </w:r>
  </w:p>
  <w:p w14:paraId="4BF18402" w14:textId="77777777" w:rsidR="001A3274" w:rsidRDefault="001A3274">
    <w:pPr>
      <w:pBdr>
        <w:top w:val="single" w:sz="4" w:space="1" w:color="F3C345"/>
      </w:pBdr>
      <w:tabs>
        <w:tab w:val="center" w:pos="4536"/>
        <w:tab w:val="right" w:pos="9072"/>
      </w:tabs>
      <w:spacing w:line="240" w:lineRule="auto"/>
      <w:rPr>
        <w:rFonts w:cstheme="minorHAnsi"/>
        <w:color w:val="605C5B"/>
        <w:sz w:val="18"/>
        <w:szCs w:val="18"/>
      </w:rPr>
    </w:pPr>
    <w:r>
      <w:rPr>
        <w:rFonts w:cstheme="minorHAnsi"/>
        <w:color w:val="605C5B" w:themeColor="text1"/>
        <w:sz w:val="18"/>
        <w:szCs w:val="18"/>
      </w:rPr>
      <w:tab/>
    </w:r>
  </w:p>
  <w:p w14:paraId="0B622B0E" w14:textId="77777777" w:rsidR="001A3274" w:rsidRDefault="001A3274">
    <w:pPr>
      <w:pStyle w:val="Pieddepage"/>
      <w:rPr>
        <w:i/>
      </w:rPr>
    </w:pPr>
    <w:r>
      <w:rPr>
        <w:rFonts w:cstheme="minorHAnsi"/>
        <w:color w:val="605C5B" w:themeColor="text1"/>
        <w:sz w:val="18"/>
        <w:szCs w:val="18"/>
      </w:rPr>
      <w:tab/>
    </w:r>
    <w:r>
      <w:rPr>
        <w:rFonts w:cstheme="minorHAnsi"/>
        <w:i/>
        <w:color w:val="605C5B" w:themeColor="text1"/>
        <w:sz w:val="18"/>
        <w:szCs w:val="18"/>
      </w:rPr>
      <w:t xml:space="preserve">contact@ALTEREA.fr – </w:t>
    </w:r>
    <w:hyperlink r:id="rId1" w:tooltip="http://www.alterea.fr" w:history="1">
      <w:r>
        <w:rPr>
          <w:rStyle w:val="Lienhypertexte"/>
          <w:rFonts w:cstheme="minorHAnsi"/>
          <w:i/>
          <w:color w:val="605C5B" w:themeColor="text1"/>
          <w:sz w:val="18"/>
          <w:szCs w:val="18"/>
        </w:rPr>
        <w:t>www.ALTEREA.fr</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A75AB" w14:textId="13DA6945" w:rsidR="001A3274" w:rsidRDefault="001A3274">
    <w:pPr>
      <w:pStyle w:val="Pieddepage"/>
      <w:pBdr>
        <w:top w:val="single" w:sz="4" w:space="1" w:color="605C5B" w:themeColor="text1"/>
      </w:pBdr>
      <w:rPr>
        <w:b/>
        <w:color w:val="605C5B"/>
        <w:sz w:val="15"/>
        <w:szCs w:val="15"/>
      </w:rPr>
    </w:pPr>
    <w:r>
      <w:rPr>
        <w:b/>
        <w:color w:val="605C5B" w:themeColor="text1"/>
        <w:sz w:val="15"/>
        <w:szCs w:val="15"/>
      </w:rPr>
      <w:t xml:space="preserve">Communauté d’Agglomération de </w:t>
    </w:r>
    <w:r w:rsidR="00E1705D">
      <w:rPr>
        <w:b/>
        <w:color w:val="605C5B" w:themeColor="text1"/>
        <w:sz w:val="15"/>
        <w:szCs w:val="15"/>
      </w:rPr>
      <w:t>Quimper Bretagne Occidentale</w:t>
    </w:r>
    <w:r>
      <w:rPr>
        <w:b/>
        <w:color w:val="605C5B" w:themeColor="text1"/>
        <w:sz w:val="15"/>
        <w:szCs w:val="15"/>
      </w:rPr>
      <w:t xml:space="preserve"> – PCAET – Résumé non technique</w:t>
    </w:r>
    <w:r w:rsidR="00E1705D">
      <w:rPr>
        <w:b/>
        <w:color w:val="605C5B" w:themeColor="text1"/>
        <w:sz w:val="15"/>
        <w:szCs w:val="15"/>
      </w:rPr>
      <w:t xml:space="preserve"> </w:t>
    </w:r>
    <w:r w:rsidR="00E1705D">
      <w:rPr>
        <w:b/>
        <w:color w:val="605C5B" w:themeColor="text1"/>
        <w:sz w:val="15"/>
        <w:szCs w:val="15"/>
      </w:rPr>
      <w:tab/>
    </w:r>
    <w:r>
      <w:rPr>
        <w:b/>
        <w:color w:val="605C5B" w:themeColor="text1"/>
        <w:sz w:val="15"/>
        <w:szCs w:val="15"/>
      </w:rPr>
      <w:fldChar w:fldCharType="begin"/>
    </w:r>
    <w:r>
      <w:rPr>
        <w:b/>
        <w:color w:val="605C5B" w:themeColor="text1"/>
        <w:sz w:val="15"/>
        <w:szCs w:val="15"/>
      </w:rPr>
      <w:instrText xml:space="preserve"> PAGE </w:instrText>
    </w:r>
    <w:r>
      <w:rPr>
        <w:b/>
        <w:color w:val="605C5B" w:themeColor="text1"/>
        <w:sz w:val="15"/>
        <w:szCs w:val="15"/>
      </w:rPr>
      <w:fldChar w:fldCharType="separate"/>
    </w:r>
    <w:r>
      <w:rPr>
        <w:b/>
        <w:color w:val="605C5B" w:themeColor="text1"/>
        <w:sz w:val="15"/>
        <w:szCs w:val="15"/>
      </w:rPr>
      <w:t>2</w:t>
    </w:r>
    <w:r>
      <w:rPr>
        <w:b/>
        <w:color w:val="605C5B" w:themeColor="text1"/>
        <w:sz w:val="15"/>
        <w:szCs w:val="15"/>
      </w:rPr>
      <w:fldChar w:fldCharType="end"/>
    </w:r>
    <w:r>
      <w:rPr>
        <w:b/>
        <w:color w:val="605C5B" w:themeColor="text1"/>
        <w:sz w:val="15"/>
        <w:szCs w:val="15"/>
      </w:rPr>
      <w:t>/</w:t>
    </w:r>
    <w:r>
      <w:rPr>
        <w:b/>
        <w:color w:val="605C5B" w:themeColor="text1"/>
        <w:sz w:val="15"/>
        <w:szCs w:val="15"/>
      </w:rPr>
      <w:fldChar w:fldCharType="begin"/>
    </w:r>
    <w:r>
      <w:rPr>
        <w:b/>
        <w:color w:val="605C5B" w:themeColor="text1"/>
        <w:sz w:val="15"/>
        <w:szCs w:val="15"/>
      </w:rPr>
      <w:instrText xml:space="preserve"> NUMPAGES  </w:instrText>
    </w:r>
    <w:r>
      <w:rPr>
        <w:b/>
        <w:color w:val="605C5B" w:themeColor="text1"/>
        <w:sz w:val="15"/>
        <w:szCs w:val="15"/>
      </w:rPr>
      <w:fldChar w:fldCharType="separate"/>
    </w:r>
    <w:r>
      <w:rPr>
        <w:b/>
        <w:color w:val="605C5B" w:themeColor="text1"/>
        <w:sz w:val="15"/>
        <w:szCs w:val="15"/>
      </w:rPr>
      <w:t>20</w:t>
    </w:r>
    <w:r>
      <w:rPr>
        <w:b/>
        <w:color w:val="605C5B" w:themeColor="text1"/>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C0EF1F" w14:textId="77777777" w:rsidR="001A3274" w:rsidRDefault="001A3274">
      <w:pPr>
        <w:spacing w:line="240" w:lineRule="auto"/>
      </w:pPr>
      <w:r>
        <w:separator/>
      </w:r>
    </w:p>
  </w:footnote>
  <w:footnote w:type="continuationSeparator" w:id="0">
    <w:p w14:paraId="0A5F4829" w14:textId="77777777" w:rsidR="001A3274" w:rsidRDefault="001A3274">
      <w:pPr>
        <w:spacing w:line="240" w:lineRule="auto"/>
      </w:pPr>
      <w:r>
        <w:continuationSeparator/>
      </w:r>
    </w:p>
  </w:footnote>
  <w:footnote w:id="1">
    <w:p w14:paraId="4FEECE7D" w14:textId="77777777" w:rsidR="00E674C2" w:rsidRPr="004572B3" w:rsidRDefault="00E674C2" w:rsidP="00E674C2">
      <w:pPr>
        <w:pStyle w:val="QBO-Notesbasdepage"/>
      </w:pPr>
      <w:r w:rsidRPr="004572B3">
        <w:rPr>
          <w:rStyle w:val="QBO-NotesbasdepageCar"/>
          <w:vertAlign w:val="superscript"/>
        </w:rPr>
        <w:footnoteRef/>
      </w:r>
      <w:r w:rsidRPr="004572B3">
        <w:t xml:space="preserve"> D’après l’Insee, Quimper Bretagne Occidentale comptait 100 620 habitants en 2018 </w:t>
      </w:r>
    </w:p>
  </w:footnote>
  <w:footnote w:id="2">
    <w:p w14:paraId="17747225" w14:textId="77777777" w:rsidR="00E674C2" w:rsidRDefault="00E674C2" w:rsidP="00E674C2">
      <w:pPr>
        <w:pStyle w:val="QBO-Notesbasdepage"/>
      </w:pPr>
      <w:r>
        <w:rPr>
          <w:rStyle w:val="Appelnotedebasdep"/>
        </w:rPr>
        <w:footnoteRef/>
      </w:r>
      <w:r>
        <w:t xml:space="preserve"> </w:t>
      </w:r>
      <w:r w:rsidRPr="004572B3">
        <w:t>D’après TerriSTORY</w:t>
      </w:r>
      <w:r w:rsidRPr="00157DD7">
        <w:rPr>
          <w:vertAlign w:val="superscript"/>
        </w:rPr>
        <w:t>®</w:t>
      </w:r>
      <w:r w:rsidRPr="004572B3">
        <w:t xml:space="preserve">, </w:t>
      </w:r>
      <w:r>
        <w:t xml:space="preserve">le département du Finistère </w:t>
      </w:r>
      <w:r w:rsidRPr="004572B3">
        <w:t xml:space="preserve">a consommé </w:t>
      </w:r>
      <w:r>
        <w:t>24 291</w:t>
      </w:r>
      <w:r w:rsidRPr="004572B3">
        <w:t xml:space="preserve"> GWh en 2018 et d’après l’Insee, l</w:t>
      </w:r>
      <w:r>
        <w:t xml:space="preserve">e département </w:t>
      </w:r>
      <w:r w:rsidRPr="004572B3">
        <w:t xml:space="preserve">comptabilisait </w:t>
      </w:r>
      <w:r w:rsidRPr="00157DD7">
        <w:t>906</w:t>
      </w:r>
      <w:r>
        <w:t> </w:t>
      </w:r>
      <w:r w:rsidRPr="00157DD7">
        <w:t>687</w:t>
      </w:r>
      <w:r>
        <w:t xml:space="preserve"> </w:t>
      </w:r>
      <w:r w:rsidRPr="004572B3">
        <w:t>habitants en 2018</w:t>
      </w:r>
    </w:p>
  </w:footnote>
  <w:footnote w:id="3">
    <w:p w14:paraId="694BBC06" w14:textId="77777777" w:rsidR="00E674C2" w:rsidRPr="004572B3" w:rsidRDefault="00E674C2" w:rsidP="00E674C2">
      <w:pPr>
        <w:pStyle w:val="QBO-Notesbasdepage"/>
      </w:pPr>
      <w:r w:rsidRPr="004572B3">
        <w:rPr>
          <w:vertAlign w:val="superscript"/>
        </w:rPr>
        <w:footnoteRef/>
      </w:r>
      <w:r w:rsidRPr="004572B3">
        <w:t xml:space="preserve"> D’après TerriSTORY</w:t>
      </w:r>
      <w:r w:rsidRPr="00157DD7">
        <w:rPr>
          <w:vertAlign w:val="superscript"/>
        </w:rPr>
        <w:t>®</w:t>
      </w:r>
      <w:r w:rsidRPr="004572B3">
        <w:t xml:space="preserve">, la région Bretagne a consommé 84 195 GWh en 2018 et d’après l’Insee, la région comptabilisait </w:t>
      </w:r>
      <w:r w:rsidRPr="00157DD7">
        <w:t xml:space="preserve">3 323 355 </w:t>
      </w:r>
      <w:r w:rsidRPr="004572B3">
        <w:t xml:space="preserve">habitants en 2018 </w:t>
      </w:r>
    </w:p>
  </w:footnote>
  <w:footnote w:id="4">
    <w:p w14:paraId="28F37C3F" w14:textId="77777777" w:rsidR="00E674C2" w:rsidRPr="004572B3" w:rsidRDefault="00E674C2" w:rsidP="00E674C2">
      <w:pPr>
        <w:pStyle w:val="QBO-Notesbasdepage"/>
      </w:pPr>
      <w:r w:rsidRPr="004572B3">
        <w:rPr>
          <w:vertAlign w:val="superscript"/>
        </w:rPr>
        <w:footnoteRef/>
      </w:r>
      <w:r w:rsidRPr="004572B3">
        <w:rPr>
          <w:vertAlign w:val="superscript"/>
        </w:rPr>
        <w:t xml:space="preserve"> </w:t>
      </w:r>
      <w:r w:rsidRPr="004572B3">
        <w:t xml:space="preserve">Donnée </w:t>
      </w:r>
      <w:r>
        <w:t xml:space="preserve">du </w:t>
      </w:r>
      <w:r w:rsidRPr="004572B3">
        <w:t>Ministère de la Transition écologique et de la Cohésion des territoires</w:t>
      </w:r>
    </w:p>
  </w:footnote>
  <w:footnote w:id="5">
    <w:p w14:paraId="5AE38088" w14:textId="77777777" w:rsidR="00666805" w:rsidRDefault="00666805" w:rsidP="00666805">
      <w:pPr>
        <w:pStyle w:val="Notedebasdepage"/>
        <w:spacing w:after="0"/>
      </w:pPr>
      <w:r w:rsidRPr="00D43FEA">
        <w:rPr>
          <w:rStyle w:val="Appelnotedebasdep"/>
          <w:sz w:val="18"/>
          <w:szCs w:val="16"/>
        </w:rPr>
        <w:footnoteRef/>
      </w:r>
      <w:r w:rsidRPr="00D43FEA">
        <w:rPr>
          <w:sz w:val="18"/>
          <w:szCs w:val="16"/>
        </w:rPr>
        <w:t xml:space="preserve"> Les avis de l’ADEME « Alimentation -Les circuits courts de proximité », juin 2017, 8 pages.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Grilledutableau"/>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96"/>
      <w:gridCol w:w="3096"/>
      <w:gridCol w:w="3096"/>
    </w:tblGrid>
    <w:tr w:rsidR="001A3274" w14:paraId="588114C8" w14:textId="77777777">
      <w:trPr>
        <w:trHeight w:hRule="exact" w:val="737"/>
      </w:trPr>
      <w:tc>
        <w:tcPr>
          <w:tcW w:w="3096" w:type="dxa"/>
          <w:vAlign w:val="center"/>
        </w:tcPr>
        <w:p w14:paraId="35021116" w14:textId="77777777" w:rsidR="001A3274" w:rsidRDefault="001A3274">
          <w:pPr>
            <w:pStyle w:val="Sansinterligne"/>
            <w:spacing w:before="0" w:after="0"/>
            <w:jc w:val="left"/>
          </w:pPr>
          <w:r>
            <w:rPr>
              <w:noProof/>
            </w:rPr>
            <mc:AlternateContent>
              <mc:Choice Requires="wpg">
                <w:drawing>
                  <wp:inline distT="0" distB="0" distL="0" distR="0" wp14:anchorId="5C56E816" wp14:editId="0D126D29">
                    <wp:extent cx="1097280" cy="374084"/>
                    <wp:effectExtent l="0" t="0" r="7620" b="6985"/>
                    <wp:docPr id="1597019497" name="Imag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ea.jpg"/>
                            <pic:cNvPicPr>
                              <a:picLocks noChangeAspect="1"/>
                            </pic:cNvPicPr>
                          </pic:nvPicPr>
                          <pic:blipFill>
                            <a:blip r:embed="rId1"/>
                            <a:stretch/>
                          </pic:blipFill>
                          <pic:spPr bwMode="auto">
                            <a:xfrm>
                              <a:off x="0" y="0"/>
                              <a:ext cx="1113141" cy="379491"/>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mso-wrap-distance-left:0.0pt;mso-wrap-distance-top:0.0pt;mso-wrap-distance-right:0.0pt;mso-wrap-distance-bottom:0.0pt;width:86.4pt;height:29.5pt;" stroked="false">
                    <v:path textboxrect="0,0,0,0"/>
                    <v:imagedata r:id="rId2" o:title=""/>
                  </v:shape>
                </w:pict>
              </mc:Fallback>
            </mc:AlternateContent>
          </w:r>
        </w:p>
      </w:tc>
      <w:tc>
        <w:tcPr>
          <w:tcW w:w="3096" w:type="dxa"/>
          <w:vAlign w:val="center"/>
        </w:tcPr>
        <w:p w14:paraId="2B56530F" w14:textId="77777777" w:rsidR="001A3274" w:rsidRDefault="001A3274">
          <w:pPr>
            <w:pStyle w:val="Sansinterligne"/>
            <w:spacing w:before="0" w:after="0"/>
          </w:pPr>
          <w:r>
            <w:rPr>
              <w:noProof/>
            </w:rPr>
            <mc:AlternateContent>
              <mc:Choice Requires="wpg">
                <w:drawing>
                  <wp:inline distT="0" distB="0" distL="0" distR="0" wp14:anchorId="16F27738" wp14:editId="6ED45118">
                    <wp:extent cx="1073426" cy="360790"/>
                    <wp:effectExtent l="0" t="0" r="0" b="1270"/>
                    <wp:docPr id="768418623" name="Image 32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ficher l'image d'origine"/>
                            <pic:cNvPicPr>
                              <a:picLocks noChangeAspect="1"/>
                            </pic:cNvPicPr>
                          </pic:nvPicPr>
                          <pic:blipFill>
                            <a:blip r:embed="rId3"/>
                            <a:stretch/>
                          </pic:blipFill>
                          <pic:spPr bwMode="auto">
                            <a:xfrm>
                              <a:off x="0" y="0"/>
                              <a:ext cx="1077524" cy="362167"/>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84.5pt;height:28.4pt;" stroked="f">
                    <v:path textboxrect="0,0,0,0"/>
                    <v:imagedata r:id="rId4" o:title=""/>
                  </v:shape>
                </w:pict>
              </mc:Fallback>
            </mc:AlternateContent>
          </w:r>
        </w:p>
      </w:tc>
      <w:tc>
        <w:tcPr>
          <w:tcW w:w="3096" w:type="dxa"/>
          <w:vAlign w:val="center"/>
        </w:tcPr>
        <w:p w14:paraId="29BD26AA" w14:textId="77777777" w:rsidR="001A3274" w:rsidRDefault="001A3274">
          <w:pPr>
            <w:pStyle w:val="Sansinterligne"/>
            <w:spacing w:before="0" w:after="0"/>
            <w:jc w:val="right"/>
          </w:pPr>
          <w:r>
            <w:rPr>
              <w:noProof/>
            </w:rPr>
            <mc:AlternateContent>
              <mc:Choice Requires="wpg">
                <w:drawing>
                  <wp:inline distT="0" distB="0" distL="0" distR="0" wp14:anchorId="6237F6EF" wp14:editId="18091A59">
                    <wp:extent cx="1700566" cy="272356"/>
                    <wp:effectExtent l="0" t="0" r="0" b="0"/>
                    <wp:docPr id="70260899" name="Image 32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pic:cNvPicPr>
                          </pic:nvPicPr>
                          <pic:blipFill>
                            <a:blip r:embed="rId5"/>
                            <a:stretch/>
                          </pic:blipFill>
                          <pic:spPr bwMode="auto">
                            <a:xfrm>
                              <a:off x="0" y="0"/>
                              <a:ext cx="1702489" cy="272664"/>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mso-wrap-distance-left:0.0pt;mso-wrap-distance-top:0.0pt;mso-wrap-distance-right:0.0pt;mso-wrap-distance-bottom:0.0pt;width:133.9pt;height:21.4pt;" stroked="f">
                    <v:path textboxrect="0,0,0,0"/>
                    <v:imagedata r:id="rId6" o:title=""/>
                  </v:shape>
                </w:pict>
              </mc:Fallback>
            </mc:AlternateContent>
          </w:r>
        </w:p>
      </w:tc>
    </w:tr>
  </w:tbl>
  <w:p w14:paraId="6B07325E" w14:textId="77777777" w:rsidR="001A3274" w:rsidRDefault="001A327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3D911" w14:textId="6C8C81EE" w:rsidR="001A3274" w:rsidRDefault="001A3274"/>
  <w:p w14:paraId="407B2F40" w14:textId="3994283B" w:rsidR="001A3274" w:rsidRDefault="001A327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088AA" w14:textId="19CB2D92" w:rsidR="001A3274" w:rsidRDefault="00055A7C" w:rsidP="00055A7C">
    <w:pPr>
      <w:pStyle w:val="En-tte"/>
    </w:pPr>
    <w:r w:rsidRPr="00D761A1">
      <w:rPr>
        <w:noProof/>
        <w:szCs w:val="20"/>
      </w:rPr>
      <w:drawing>
        <wp:anchor distT="0" distB="0" distL="114300" distR="114300" simplePos="0" relativeHeight="251659264" behindDoc="0" locked="0" layoutInCell="1" allowOverlap="1" wp14:anchorId="3FC78DCA" wp14:editId="1E4B591F">
          <wp:simplePos x="0" y="0"/>
          <wp:positionH relativeFrom="margin">
            <wp:posOffset>29991</wp:posOffset>
          </wp:positionH>
          <wp:positionV relativeFrom="paragraph">
            <wp:posOffset>-9623</wp:posOffset>
          </wp:positionV>
          <wp:extent cx="1438275" cy="252095"/>
          <wp:effectExtent l="0" t="0" r="0" b="0"/>
          <wp:wrapNone/>
          <wp:docPr id="329072057" name="Image 329072057" descr="Une image contenant texte, Police, Graphique, graphisme&#10;&#10;Description générée automatiquement">
            <a:extLst xmlns:a="http://schemas.openxmlformats.org/drawingml/2006/main">
              <a:ext uri="{FF2B5EF4-FFF2-40B4-BE49-F238E27FC236}">
                <a16:creationId xmlns:a16="http://schemas.microsoft.com/office/drawing/2014/main" id="{D8473FE2-3520-4288-8EF6-09A7C8C271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072057" name="Image 329072057" descr="Une image contenant texte, Police, Graphique, graphisme&#10;&#10;Description générée automatiquement">
                    <a:extLst>
                      <a:ext uri="{FF2B5EF4-FFF2-40B4-BE49-F238E27FC236}">
                        <a16:creationId xmlns:a16="http://schemas.microsoft.com/office/drawing/2014/main" id="{D8473FE2-3520-4288-8EF6-09A7C8C271C3}"/>
                      </a:ext>
                    </a:extLst>
                  </pic:cNvPr>
                  <pic:cNvPicPr>
                    <a:picLocks noChangeAspect="1"/>
                  </pic:cNvPicPr>
                </pic:nvPicPr>
                <pic:blipFill>
                  <a:blip r:embed="rId1" cstate="hqprint">
                    <a:extLst>
                      <a:ext uri="{28A0092B-C50C-407E-A947-70E740481C1C}">
                        <a14:useLocalDpi xmlns:a14="http://schemas.microsoft.com/office/drawing/2010/main" val="0"/>
                      </a:ext>
                    </a:extLst>
                  </a:blip>
                  <a:stretch>
                    <a:fillRect/>
                  </a:stretch>
                </pic:blipFill>
                <pic:spPr>
                  <a:xfrm>
                    <a:off x="0" y="0"/>
                    <a:ext cx="1438275" cy="252095"/>
                  </a:xfrm>
                  <a:prstGeom prst="rect">
                    <a:avLst/>
                  </a:prstGeom>
                </pic:spPr>
              </pic:pic>
            </a:graphicData>
          </a:graphic>
        </wp:anchor>
      </w:drawing>
    </w:r>
    <w:r>
      <w:rPr>
        <w:noProof/>
      </w:rPr>
      <w:drawing>
        <wp:anchor distT="0" distB="0" distL="114300" distR="114300" simplePos="0" relativeHeight="251660288" behindDoc="0" locked="0" layoutInCell="1" allowOverlap="1" wp14:anchorId="30AF59C1" wp14:editId="6C651DF1">
          <wp:simplePos x="0" y="0"/>
          <wp:positionH relativeFrom="column">
            <wp:posOffset>4245610</wp:posOffset>
          </wp:positionH>
          <wp:positionV relativeFrom="paragraph">
            <wp:posOffset>-294982</wp:posOffset>
          </wp:positionV>
          <wp:extent cx="1543050" cy="647065"/>
          <wp:effectExtent l="0" t="0" r="0" b="0"/>
          <wp:wrapSquare wrapText="bothSides"/>
          <wp:docPr id="38100678" name="Image 3810067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3050" cy="6470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00C8B"/>
    <w:multiLevelType w:val="hybridMultilevel"/>
    <w:tmpl w:val="07B058E8"/>
    <w:lvl w:ilvl="0" w:tplc="FFFFFFFF">
      <w:start w:val="1"/>
      <w:numFmt w:val="bullet"/>
      <w:lvlText w:val=""/>
      <w:lvlJc w:val="left"/>
      <w:pPr>
        <w:ind w:left="720" w:hanging="360"/>
      </w:pPr>
      <w:rPr>
        <w:rFonts w:ascii="Wingdings" w:hAnsi="Wingdings" w:hint="default"/>
        <w:color w:val="FFC000"/>
      </w:rPr>
    </w:lvl>
    <w:lvl w:ilvl="1" w:tplc="A2981ECC">
      <w:start w:val="1"/>
      <w:numFmt w:val="bullet"/>
      <w:lvlText w:val="-"/>
      <w:lvlJc w:val="left"/>
      <w:pPr>
        <w:ind w:left="1440" w:hanging="360"/>
      </w:pPr>
      <w:rPr>
        <w:rFonts w:ascii="Courier New" w:hAnsi="Courier New" w:hint="default"/>
        <w:b/>
        <w:i w:val="0"/>
        <w:color w:val="F3C345"/>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0794C5B"/>
    <w:multiLevelType w:val="hybridMultilevel"/>
    <w:tmpl w:val="175C8668"/>
    <w:lvl w:ilvl="0" w:tplc="A34C1E9E">
      <w:start w:val="1"/>
      <w:numFmt w:val="bullet"/>
      <w:lvlText w:val=""/>
      <w:lvlJc w:val="left"/>
      <w:pPr>
        <w:ind w:left="360" w:hanging="360"/>
      </w:pPr>
      <w:rPr>
        <w:rFonts w:ascii="Symbol" w:hAnsi="Symbol" w:hint="default"/>
      </w:rPr>
    </w:lvl>
    <w:lvl w:ilvl="1" w:tplc="DB74A0BA">
      <w:start w:val="1"/>
      <w:numFmt w:val="bullet"/>
      <w:lvlText w:val="o"/>
      <w:lvlJc w:val="left"/>
      <w:pPr>
        <w:ind w:left="1080" w:hanging="360"/>
      </w:pPr>
      <w:rPr>
        <w:rFonts w:ascii="Courier New" w:hAnsi="Courier New" w:cs="Courier New" w:hint="default"/>
      </w:rPr>
    </w:lvl>
    <w:lvl w:ilvl="2" w:tplc="8F401656">
      <w:start w:val="1"/>
      <w:numFmt w:val="bullet"/>
      <w:lvlText w:val=""/>
      <w:lvlJc w:val="left"/>
      <w:pPr>
        <w:ind w:left="1800" w:hanging="360"/>
      </w:pPr>
      <w:rPr>
        <w:rFonts w:ascii="Wingdings" w:hAnsi="Wingdings" w:hint="default"/>
      </w:rPr>
    </w:lvl>
    <w:lvl w:ilvl="3" w:tplc="4A74C988">
      <w:start w:val="1"/>
      <w:numFmt w:val="bullet"/>
      <w:lvlText w:val=""/>
      <w:lvlJc w:val="left"/>
      <w:pPr>
        <w:ind w:left="2520" w:hanging="360"/>
      </w:pPr>
      <w:rPr>
        <w:rFonts w:ascii="Symbol" w:hAnsi="Symbol" w:hint="default"/>
      </w:rPr>
    </w:lvl>
    <w:lvl w:ilvl="4" w:tplc="05700966">
      <w:start w:val="1"/>
      <w:numFmt w:val="bullet"/>
      <w:lvlText w:val="o"/>
      <w:lvlJc w:val="left"/>
      <w:pPr>
        <w:ind w:left="3240" w:hanging="360"/>
      </w:pPr>
      <w:rPr>
        <w:rFonts w:ascii="Courier New" w:hAnsi="Courier New" w:cs="Courier New" w:hint="default"/>
      </w:rPr>
    </w:lvl>
    <w:lvl w:ilvl="5" w:tplc="D5523638">
      <w:start w:val="1"/>
      <w:numFmt w:val="bullet"/>
      <w:lvlText w:val=""/>
      <w:lvlJc w:val="left"/>
      <w:pPr>
        <w:ind w:left="3960" w:hanging="360"/>
      </w:pPr>
      <w:rPr>
        <w:rFonts w:ascii="Wingdings" w:hAnsi="Wingdings" w:hint="default"/>
      </w:rPr>
    </w:lvl>
    <w:lvl w:ilvl="6" w:tplc="4D44BCF0">
      <w:start w:val="1"/>
      <w:numFmt w:val="bullet"/>
      <w:lvlText w:val=""/>
      <w:lvlJc w:val="left"/>
      <w:pPr>
        <w:ind w:left="4680" w:hanging="360"/>
      </w:pPr>
      <w:rPr>
        <w:rFonts w:ascii="Symbol" w:hAnsi="Symbol" w:hint="default"/>
      </w:rPr>
    </w:lvl>
    <w:lvl w:ilvl="7" w:tplc="F5321408">
      <w:start w:val="1"/>
      <w:numFmt w:val="bullet"/>
      <w:lvlText w:val="o"/>
      <w:lvlJc w:val="left"/>
      <w:pPr>
        <w:ind w:left="5400" w:hanging="360"/>
      </w:pPr>
      <w:rPr>
        <w:rFonts w:ascii="Courier New" w:hAnsi="Courier New" w:cs="Courier New" w:hint="default"/>
      </w:rPr>
    </w:lvl>
    <w:lvl w:ilvl="8" w:tplc="EBEEBC2E">
      <w:start w:val="1"/>
      <w:numFmt w:val="bullet"/>
      <w:lvlText w:val=""/>
      <w:lvlJc w:val="left"/>
      <w:pPr>
        <w:ind w:left="6120" w:hanging="360"/>
      </w:pPr>
      <w:rPr>
        <w:rFonts w:ascii="Wingdings" w:hAnsi="Wingdings" w:hint="default"/>
      </w:rPr>
    </w:lvl>
  </w:abstractNum>
  <w:abstractNum w:abstractNumId="2" w15:restartNumberingAfterBreak="0">
    <w:nsid w:val="03C67E75"/>
    <w:multiLevelType w:val="hybridMultilevel"/>
    <w:tmpl w:val="3A4837FE"/>
    <w:lvl w:ilvl="0" w:tplc="69461E2E">
      <w:start w:val="1"/>
      <w:numFmt w:val="bullet"/>
      <w:lvlText w:val=""/>
      <w:lvlJc w:val="left"/>
      <w:rPr>
        <w:rFonts w:ascii="Wingdings" w:hAnsi="Wingdings" w:hint="default"/>
        <w:b/>
        <w:color w:val="F3C345"/>
        <w:sz w:val="22"/>
      </w:rPr>
    </w:lvl>
    <w:lvl w:ilvl="1" w:tplc="3B58FF18">
      <w:start w:val="1"/>
      <w:numFmt w:val="bullet"/>
      <w:lvlText w:val="o"/>
      <w:lvlJc w:val="left"/>
      <w:pPr>
        <w:ind w:left="1440" w:hanging="360"/>
      </w:pPr>
      <w:rPr>
        <w:rFonts w:ascii="Courier New" w:hAnsi="Courier New" w:cs="Courier New" w:hint="default"/>
      </w:rPr>
    </w:lvl>
    <w:lvl w:ilvl="2" w:tplc="EF4865EA">
      <w:start w:val="1"/>
      <w:numFmt w:val="bullet"/>
      <w:lvlText w:val=""/>
      <w:lvlJc w:val="left"/>
      <w:pPr>
        <w:ind w:left="2160" w:hanging="360"/>
      </w:pPr>
      <w:rPr>
        <w:rFonts w:ascii="Wingdings" w:hAnsi="Wingdings" w:hint="default"/>
      </w:rPr>
    </w:lvl>
    <w:lvl w:ilvl="3" w:tplc="19180930">
      <w:start w:val="1"/>
      <w:numFmt w:val="bullet"/>
      <w:lvlText w:val=""/>
      <w:lvlJc w:val="left"/>
      <w:pPr>
        <w:ind w:left="2880" w:hanging="360"/>
      </w:pPr>
      <w:rPr>
        <w:rFonts w:ascii="Symbol" w:hAnsi="Symbol" w:hint="default"/>
      </w:rPr>
    </w:lvl>
    <w:lvl w:ilvl="4" w:tplc="B5BEC422">
      <w:start w:val="1"/>
      <w:numFmt w:val="bullet"/>
      <w:lvlText w:val="o"/>
      <w:lvlJc w:val="left"/>
      <w:pPr>
        <w:ind w:left="3600" w:hanging="360"/>
      </w:pPr>
      <w:rPr>
        <w:rFonts w:ascii="Courier New" w:hAnsi="Courier New" w:cs="Courier New" w:hint="default"/>
      </w:rPr>
    </w:lvl>
    <w:lvl w:ilvl="5" w:tplc="08BED782">
      <w:start w:val="1"/>
      <w:numFmt w:val="bullet"/>
      <w:lvlText w:val=""/>
      <w:lvlJc w:val="left"/>
      <w:pPr>
        <w:ind w:left="4320" w:hanging="360"/>
      </w:pPr>
      <w:rPr>
        <w:rFonts w:ascii="Wingdings" w:hAnsi="Wingdings" w:hint="default"/>
      </w:rPr>
    </w:lvl>
    <w:lvl w:ilvl="6" w:tplc="1B6C5D16">
      <w:start w:val="1"/>
      <w:numFmt w:val="bullet"/>
      <w:lvlText w:val=""/>
      <w:lvlJc w:val="left"/>
      <w:pPr>
        <w:ind w:left="5040" w:hanging="360"/>
      </w:pPr>
      <w:rPr>
        <w:rFonts w:ascii="Symbol" w:hAnsi="Symbol" w:hint="default"/>
      </w:rPr>
    </w:lvl>
    <w:lvl w:ilvl="7" w:tplc="6F220228">
      <w:start w:val="1"/>
      <w:numFmt w:val="bullet"/>
      <w:lvlText w:val="o"/>
      <w:lvlJc w:val="left"/>
      <w:pPr>
        <w:ind w:left="5760" w:hanging="360"/>
      </w:pPr>
      <w:rPr>
        <w:rFonts w:ascii="Courier New" w:hAnsi="Courier New" w:cs="Courier New" w:hint="default"/>
      </w:rPr>
    </w:lvl>
    <w:lvl w:ilvl="8" w:tplc="05586F38">
      <w:start w:val="1"/>
      <w:numFmt w:val="bullet"/>
      <w:lvlText w:val=""/>
      <w:lvlJc w:val="left"/>
      <w:pPr>
        <w:ind w:left="6480" w:hanging="360"/>
      </w:pPr>
      <w:rPr>
        <w:rFonts w:ascii="Wingdings" w:hAnsi="Wingdings" w:hint="default"/>
      </w:rPr>
    </w:lvl>
  </w:abstractNum>
  <w:abstractNum w:abstractNumId="3" w15:restartNumberingAfterBreak="0">
    <w:nsid w:val="059725E2"/>
    <w:multiLevelType w:val="multilevel"/>
    <w:tmpl w:val="F9BE9DF8"/>
    <w:lvl w:ilvl="0">
      <w:start w:val="1"/>
      <w:numFmt w:val="decimal"/>
      <w:lvlText w:val="%1"/>
      <w:lvlJc w:val="left"/>
      <w:pPr>
        <w:ind w:left="432" w:hanging="432"/>
      </w:pPr>
      <w:rPr>
        <w:rFonts w:hint="default"/>
      </w:rPr>
    </w:lvl>
    <w:lvl w:ilvl="1">
      <w:start w:val="1"/>
      <w:numFmt w:val="decimal"/>
      <w:lvlText w:val="%1.%2"/>
      <w:lvlJc w:val="left"/>
      <w:pPr>
        <w:ind w:left="576" w:hanging="576"/>
      </w:pPr>
      <w:rPr>
        <w:b/>
        <w:bCs w:val="0"/>
        <w:i w:val="0"/>
        <w:iCs w:val="0"/>
        <w:caps w:val="0"/>
        <w:smallCaps w:val="0"/>
        <w:strike w:val="0"/>
        <w:vanish w:val="0"/>
        <w:color w:val="F3C345" w:themeColor="accent1"/>
        <w:spacing w:val="0"/>
        <w:position w:val="0"/>
        <w:u w:val="none"/>
        <w:vertAlign w:val="baseline"/>
        <w14:textOutline w14:w="0" w14:cap="rnd" w14:cmpd="sng" w14:algn="ctr">
          <w14:noFill/>
          <w14:prstDash w14:val="solid"/>
          <w14:bevel/>
        </w14:textOutline>
      </w:rPr>
    </w:lvl>
    <w:lvl w:ilvl="2">
      <w:start w:val="1"/>
      <w:numFmt w:val="decimal"/>
      <w:lvlText w:val="%1.%2.%3"/>
      <w:lvlJc w:val="left"/>
      <w:pPr>
        <w:ind w:left="862" w:hanging="720"/>
      </w:pPr>
      <w:rPr>
        <w:rFonts w:hint="default"/>
      </w:rPr>
    </w:lvl>
    <w:lvl w:ilvl="3">
      <w:start w:val="1"/>
      <w:numFmt w:val="decimal"/>
      <w:lvlText w:val="%1.%2.%3.%4"/>
      <w:lvlJc w:val="left"/>
      <w:pPr>
        <w:ind w:left="1148" w:hanging="864"/>
      </w:pPr>
      <w:rPr>
        <w:rFonts w:hint="default"/>
        <w:b/>
        <w:sz w:val="22"/>
        <w:szCs w:val="22"/>
      </w:rPr>
    </w:lvl>
    <w:lvl w:ilvl="4">
      <w:start w:val="1"/>
      <w:numFmt w:val="decimal"/>
      <w:pStyle w:val="TITRE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6FF1834"/>
    <w:multiLevelType w:val="hybridMultilevel"/>
    <w:tmpl w:val="8E389CEA"/>
    <w:lvl w:ilvl="0" w:tplc="3D929100">
      <w:start w:val="1"/>
      <w:numFmt w:val="bullet"/>
      <w:lvlText w:val=""/>
      <w:lvlJc w:val="left"/>
      <w:pPr>
        <w:ind w:left="720" w:hanging="360"/>
      </w:pPr>
      <w:rPr>
        <w:rFonts w:ascii="Wingdings" w:hAnsi="Wingdings" w:hint="default"/>
        <w:b/>
        <w:color w:val="F3C34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9E413F2"/>
    <w:multiLevelType w:val="multilevel"/>
    <w:tmpl w:val="D464B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D70D6A"/>
    <w:multiLevelType w:val="hybridMultilevel"/>
    <w:tmpl w:val="BEE86756"/>
    <w:lvl w:ilvl="0" w:tplc="2A489662">
      <w:start w:val="1"/>
      <w:numFmt w:val="bullet"/>
      <w:lvlText w:val=""/>
      <w:lvlJc w:val="left"/>
      <w:pPr>
        <w:ind w:left="720" w:hanging="360"/>
      </w:pPr>
      <w:rPr>
        <w:rFonts w:ascii="Wingdings" w:hAnsi="Wingdings" w:hint="default"/>
        <w:color w:val="F3C345"/>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E6B62DD"/>
    <w:multiLevelType w:val="hybridMultilevel"/>
    <w:tmpl w:val="08E8F542"/>
    <w:lvl w:ilvl="0" w:tplc="2A489662">
      <w:start w:val="1"/>
      <w:numFmt w:val="bullet"/>
      <w:lvlText w:val=""/>
      <w:lvlJc w:val="left"/>
      <w:pPr>
        <w:ind w:left="720" w:hanging="360"/>
      </w:pPr>
      <w:rPr>
        <w:rFonts w:ascii="Wingdings" w:hAnsi="Wingdings" w:hint="default"/>
        <w:color w:val="F3C345"/>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B757B54"/>
    <w:multiLevelType w:val="hybridMultilevel"/>
    <w:tmpl w:val="2BA0FFB0"/>
    <w:lvl w:ilvl="0" w:tplc="3D929100">
      <w:start w:val="1"/>
      <w:numFmt w:val="bullet"/>
      <w:lvlText w:val=""/>
      <w:lvlJc w:val="left"/>
      <w:pPr>
        <w:ind w:left="720" w:hanging="360"/>
      </w:pPr>
      <w:rPr>
        <w:rFonts w:ascii="Wingdings" w:hAnsi="Wingdings" w:hint="default"/>
        <w:b/>
        <w:color w:val="F3C34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057647E"/>
    <w:multiLevelType w:val="hybridMultilevel"/>
    <w:tmpl w:val="EAA43D86"/>
    <w:lvl w:ilvl="0" w:tplc="A0161814">
      <w:start w:val="1"/>
      <w:numFmt w:val="bullet"/>
      <w:lvlText w:val=""/>
      <w:lvlJc w:val="left"/>
      <w:pPr>
        <w:ind w:left="720" w:hanging="360"/>
      </w:pPr>
      <w:rPr>
        <w:rFonts w:ascii="Wingdings" w:hAnsi="Wingdings" w:hint="default"/>
        <w:b/>
        <w:color w:val="F3C345"/>
      </w:rPr>
    </w:lvl>
    <w:lvl w:ilvl="1" w:tplc="2DC092DA">
      <w:start w:val="1"/>
      <w:numFmt w:val="bullet"/>
      <w:lvlText w:val="o"/>
      <w:lvlJc w:val="left"/>
      <w:pPr>
        <w:ind w:left="1440" w:hanging="360"/>
      </w:pPr>
      <w:rPr>
        <w:rFonts w:ascii="Courier New" w:hAnsi="Courier New" w:cs="Courier New" w:hint="default"/>
      </w:rPr>
    </w:lvl>
    <w:lvl w:ilvl="2" w:tplc="3B22F29E">
      <w:start w:val="1"/>
      <w:numFmt w:val="bullet"/>
      <w:lvlText w:val=""/>
      <w:lvlJc w:val="left"/>
      <w:pPr>
        <w:ind w:left="2160" w:hanging="360"/>
      </w:pPr>
      <w:rPr>
        <w:rFonts w:ascii="Wingdings" w:hAnsi="Wingdings" w:hint="default"/>
      </w:rPr>
    </w:lvl>
    <w:lvl w:ilvl="3" w:tplc="17F8EE2A">
      <w:start w:val="1"/>
      <w:numFmt w:val="bullet"/>
      <w:lvlText w:val=""/>
      <w:lvlJc w:val="left"/>
      <w:pPr>
        <w:ind w:left="2880" w:hanging="360"/>
      </w:pPr>
      <w:rPr>
        <w:rFonts w:ascii="Symbol" w:hAnsi="Symbol" w:hint="default"/>
      </w:rPr>
    </w:lvl>
    <w:lvl w:ilvl="4" w:tplc="6CAA51EE">
      <w:start w:val="1"/>
      <w:numFmt w:val="bullet"/>
      <w:lvlText w:val="o"/>
      <w:lvlJc w:val="left"/>
      <w:pPr>
        <w:ind w:left="3600" w:hanging="360"/>
      </w:pPr>
      <w:rPr>
        <w:rFonts w:ascii="Courier New" w:hAnsi="Courier New" w:cs="Courier New" w:hint="default"/>
      </w:rPr>
    </w:lvl>
    <w:lvl w:ilvl="5" w:tplc="907459B8">
      <w:start w:val="1"/>
      <w:numFmt w:val="bullet"/>
      <w:lvlText w:val=""/>
      <w:lvlJc w:val="left"/>
      <w:pPr>
        <w:ind w:left="4320" w:hanging="360"/>
      </w:pPr>
      <w:rPr>
        <w:rFonts w:ascii="Wingdings" w:hAnsi="Wingdings" w:hint="default"/>
      </w:rPr>
    </w:lvl>
    <w:lvl w:ilvl="6" w:tplc="7B04B344">
      <w:start w:val="1"/>
      <w:numFmt w:val="bullet"/>
      <w:lvlText w:val=""/>
      <w:lvlJc w:val="left"/>
      <w:pPr>
        <w:ind w:left="5040" w:hanging="360"/>
      </w:pPr>
      <w:rPr>
        <w:rFonts w:ascii="Symbol" w:hAnsi="Symbol" w:hint="default"/>
      </w:rPr>
    </w:lvl>
    <w:lvl w:ilvl="7" w:tplc="E264CED2">
      <w:start w:val="1"/>
      <w:numFmt w:val="bullet"/>
      <w:lvlText w:val="o"/>
      <w:lvlJc w:val="left"/>
      <w:pPr>
        <w:ind w:left="5760" w:hanging="360"/>
      </w:pPr>
      <w:rPr>
        <w:rFonts w:ascii="Courier New" w:hAnsi="Courier New" w:cs="Courier New" w:hint="default"/>
      </w:rPr>
    </w:lvl>
    <w:lvl w:ilvl="8" w:tplc="E65024C6">
      <w:start w:val="1"/>
      <w:numFmt w:val="bullet"/>
      <w:lvlText w:val=""/>
      <w:lvlJc w:val="left"/>
      <w:pPr>
        <w:ind w:left="6480" w:hanging="360"/>
      </w:pPr>
      <w:rPr>
        <w:rFonts w:ascii="Wingdings" w:hAnsi="Wingdings" w:hint="default"/>
      </w:rPr>
    </w:lvl>
  </w:abstractNum>
  <w:abstractNum w:abstractNumId="10" w15:restartNumberingAfterBreak="0">
    <w:nsid w:val="24E21C26"/>
    <w:multiLevelType w:val="hybridMultilevel"/>
    <w:tmpl w:val="43E4F884"/>
    <w:lvl w:ilvl="0" w:tplc="9822C0A0">
      <w:start w:val="1"/>
      <w:numFmt w:val="bullet"/>
      <w:pStyle w:val="puces"/>
      <w:lvlText w:val=""/>
      <w:lvlJc w:val="left"/>
      <w:pPr>
        <w:ind w:left="720" w:hanging="360"/>
      </w:pPr>
      <w:rPr>
        <w:rFonts w:ascii="Wingdings" w:hAnsi="Wingdings" w:hint="default"/>
        <w:color w:val="FFC000"/>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6DA2467"/>
    <w:multiLevelType w:val="hybridMultilevel"/>
    <w:tmpl w:val="8AB6F62E"/>
    <w:lvl w:ilvl="0" w:tplc="C3A8BC62">
      <w:start w:val="1"/>
      <w:numFmt w:val="bullet"/>
      <w:lvlText w:val=""/>
      <w:lvlJc w:val="left"/>
      <w:pPr>
        <w:ind w:left="720" w:hanging="360"/>
      </w:pPr>
      <w:rPr>
        <w:rFonts w:ascii="Wingdings" w:hAnsi="Wingdings" w:hint="default"/>
        <w:b/>
        <w:color w:val="F3C345"/>
      </w:rPr>
    </w:lvl>
    <w:lvl w:ilvl="1" w:tplc="8028DF22">
      <w:start w:val="900"/>
      <w:numFmt w:val="bullet"/>
      <w:pStyle w:val="Sous-puces"/>
      <w:lvlText w:val="-"/>
      <w:lvlJc w:val="left"/>
      <w:pPr>
        <w:ind w:left="1440" w:hanging="360"/>
      </w:pPr>
      <w:rPr>
        <w:rFonts w:ascii="Arial" w:hAnsi="Arial" w:hint="default"/>
        <w:color w:val="FFC000"/>
      </w:rPr>
    </w:lvl>
    <w:lvl w:ilvl="2" w:tplc="B80065AA">
      <w:start w:val="1"/>
      <w:numFmt w:val="bullet"/>
      <w:lvlText w:val=""/>
      <w:lvlJc w:val="left"/>
      <w:pPr>
        <w:ind w:left="2160" w:hanging="360"/>
      </w:pPr>
      <w:rPr>
        <w:rFonts w:ascii="Wingdings" w:hAnsi="Wingdings" w:hint="default"/>
      </w:rPr>
    </w:lvl>
    <w:lvl w:ilvl="3" w:tplc="B584F8D0">
      <w:start w:val="1"/>
      <w:numFmt w:val="bullet"/>
      <w:lvlText w:val=""/>
      <w:lvlJc w:val="left"/>
      <w:pPr>
        <w:ind w:left="2880" w:hanging="360"/>
      </w:pPr>
      <w:rPr>
        <w:rFonts w:ascii="Symbol" w:hAnsi="Symbol" w:hint="default"/>
      </w:rPr>
    </w:lvl>
    <w:lvl w:ilvl="4" w:tplc="CA76A7C4">
      <w:start w:val="1"/>
      <w:numFmt w:val="bullet"/>
      <w:lvlText w:val="o"/>
      <w:lvlJc w:val="left"/>
      <w:pPr>
        <w:ind w:left="3600" w:hanging="360"/>
      </w:pPr>
      <w:rPr>
        <w:rFonts w:ascii="Courier New" w:hAnsi="Courier New" w:cs="Courier New" w:hint="default"/>
      </w:rPr>
    </w:lvl>
    <w:lvl w:ilvl="5" w:tplc="B87E55B0">
      <w:start w:val="1"/>
      <w:numFmt w:val="bullet"/>
      <w:lvlText w:val=""/>
      <w:lvlJc w:val="left"/>
      <w:pPr>
        <w:ind w:left="4320" w:hanging="360"/>
      </w:pPr>
      <w:rPr>
        <w:rFonts w:ascii="Wingdings" w:hAnsi="Wingdings" w:hint="default"/>
      </w:rPr>
    </w:lvl>
    <w:lvl w:ilvl="6" w:tplc="AF76E518">
      <w:start w:val="1"/>
      <w:numFmt w:val="bullet"/>
      <w:lvlText w:val=""/>
      <w:lvlJc w:val="left"/>
      <w:pPr>
        <w:ind w:left="5040" w:hanging="360"/>
      </w:pPr>
      <w:rPr>
        <w:rFonts w:ascii="Symbol" w:hAnsi="Symbol" w:hint="default"/>
      </w:rPr>
    </w:lvl>
    <w:lvl w:ilvl="7" w:tplc="912EF8EE">
      <w:start w:val="1"/>
      <w:numFmt w:val="bullet"/>
      <w:lvlText w:val="o"/>
      <w:lvlJc w:val="left"/>
      <w:pPr>
        <w:ind w:left="5760" w:hanging="360"/>
      </w:pPr>
      <w:rPr>
        <w:rFonts w:ascii="Courier New" w:hAnsi="Courier New" w:cs="Courier New" w:hint="default"/>
      </w:rPr>
    </w:lvl>
    <w:lvl w:ilvl="8" w:tplc="5994E6BA">
      <w:start w:val="1"/>
      <w:numFmt w:val="bullet"/>
      <w:lvlText w:val=""/>
      <w:lvlJc w:val="left"/>
      <w:pPr>
        <w:ind w:left="6480" w:hanging="360"/>
      </w:pPr>
      <w:rPr>
        <w:rFonts w:ascii="Wingdings" w:hAnsi="Wingdings" w:hint="default"/>
      </w:rPr>
    </w:lvl>
  </w:abstractNum>
  <w:abstractNum w:abstractNumId="12" w15:restartNumberingAfterBreak="0">
    <w:nsid w:val="279C3ECD"/>
    <w:multiLevelType w:val="hybridMultilevel"/>
    <w:tmpl w:val="1A208796"/>
    <w:lvl w:ilvl="0" w:tplc="08FE393E">
      <w:start w:val="1"/>
      <w:numFmt w:val="bullet"/>
      <w:lvlText w:val=""/>
      <w:lvlJc w:val="left"/>
      <w:pPr>
        <w:ind w:left="720" w:hanging="360"/>
      </w:pPr>
      <w:rPr>
        <w:rFonts w:ascii="Wingdings" w:hAnsi="Wingdings" w:hint="default"/>
        <w:color w:val="FFC000"/>
        <w:sz w:val="20"/>
      </w:rPr>
    </w:lvl>
    <w:lvl w:ilvl="1" w:tplc="4D3C644E">
      <w:start w:val="1"/>
      <w:numFmt w:val="bullet"/>
      <w:lvlText w:val="o"/>
      <w:lvlJc w:val="left"/>
      <w:pPr>
        <w:ind w:left="1440" w:hanging="360"/>
      </w:pPr>
      <w:rPr>
        <w:rFonts w:ascii="Courier New" w:hAnsi="Courier New" w:cs="Courier New" w:hint="default"/>
      </w:rPr>
    </w:lvl>
    <w:lvl w:ilvl="2" w:tplc="635E9E06">
      <w:start w:val="1"/>
      <w:numFmt w:val="bullet"/>
      <w:lvlText w:val=""/>
      <w:lvlJc w:val="left"/>
      <w:pPr>
        <w:ind w:left="2160" w:hanging="360"/>
      </w:pPr>
      <w:rPr>
        <w:rFonts w:ascii="Wingdings" w:hAnsi="Wingdings" w:hint="default"/>
      </w:rPr>
    </w:lvl>
    <w:lvl w:ilvl="3" w:tplc="CBA40530">
      <w:start w:val="1"/>
      <w:numFmt w:val="bullet"/>
      <w:lvlText w:val=""/>
      <w:lvlJc w:val="left"/>
      <w:pPr>
        <w:ind w:left="2880" w:hanging="360"/>
      </w:pPr>
      <w:rPr>
        <w:rFonts w:ascii="Symbol" w:hAnsi="Symbol" w:hint="default"/>
      </w:rPr>
    </w:lvl>
    <w:lvl w:ilvl="4" w:tplc="52B2D9CC">
      <w:start w:val="1"/>
      <w:numFmt w:val="bullet"/>
      <w:lvlText w:val="o"/>
      <w:lvlJc w:val="left"/>
      <w:pPr>
        <w:ind w:left="3600" w:hanging="360"/>
      </w:pPr>
      <w:rPr>
        <w:rFonts w:ascii="Courier New" w:hAnsi="Courier New" w:cs="Courier New" w:hint="default"/>
      </w:rPr>
    </w:lvl>
    <w:lvl w:ilvl="5" w:tplc="04348814">
      <w:start w:val="1"/>
      <w:numFmt w:val="bullet"/>
      <w:lvlText w:val=""/>
      <w:lvlJc w:val="left"/>
      <w:pPr>
        <w:ind w:left="4320" w:hanging="360"/>
      </w:pPr>
      <w:rPr>
        <w:rFonts w:ascii="Wingdings" w:hAnsi="Wingdings" w:hint="default"/>
      </w:rPr>
    </w:lvl>
    <w:lvl w:ilvl="6" w:tplc="F4A03772">
      <w:start w:val="1"/>
      <w:numFmt w:val="bullet"/>
      <w:lvlText w:val=""/>
      <w:lvlJc w:val="left"/>
      <w:pPr>
        <w:ind w:left="5040" w:hanging="360"/>
      </w:pPr>
      <w:rPr>
        <w:rFonts w:ascii="Symbol" w:hAnsi="Symbol" w:hint="default"/>
      </w:rPr>
    </w:lvl>
    <w:lvl w:ilvl="7" w:tplc="7C869A84">
      <w:start w:val="1"/>
      <w:numFmt w:val="bullet"/>
      <w:lvlText w:val="o"/>
      <w:lvlJc w:val="left"/>
      <w:pPr>
        <w:ind w:left="5760" w:hanging="360"/>
      </w:pPr>
      <w:rPr>
        <w:rFonts w:ascii="Courier New" w:hAnsi="Courier New" w:cs="Courier New" w:hint="default"/>
      </w:rPr>
    </w:lvl>
    <w:lvl w:ilvl="8" w:tplc="2C287DD6">
      <w:start w:val="1"/>
      <w:numFmt w:val="bullet"/>
      <w:lvlText w:val=""/>
      <w:lvlJc w:val="left"/>
      <w:pPr>
        <w:ind w:left="6480" w:hanging="360"/>
      </w:pPr>
      <w:rPr>
        <w:rFonts w:ascii="Wingdings" w:hAnsi="Wingdings" w:hint="default"/>
      </w:rPr>
    </w:lvl>
  </w:abstractNum>
  <w:abstractNum w:abstractNumId="13" w15:restartNumberingAfterBreak="0">
    <w:nsid w:val="2C317F07"/>
    <w:multiLevelType w:val="hybridMultilevel"/>
    <w:tmpl w:val="286659FA"/>
    <w:lvl w:ilvl="0" w:tplc="5406FF5E">
      <w:start w:val="1"/>
      <w:numFmt w:val="bullet"/>
      <w:lvlText w:val=""/>
      <w:lvlJc w:val="left"/>
      <w:pPr>
        <w:ind w:left="720" w:hanging="360"/>
      </w:pPr>
      <w:rPr>
        <w:rFonts w:ascii="Wingdings" w:hAnsi="Wingdings" w:hint="default"/>
        <w:b/>
        <w:color w:val="F3C345"/>
      </w:rPr>
    </w:lvl>
    <w:lvl w:ilvl="1" w:tplc="57E42F52">
      <w:start w:val="1"/>
      <w:numFmt w:val="bullet"/>
      <w:lvlText w:val="o"/>
      <w:lvlJc w:val="left"/>
      <w:pPr>
        <w:ind w:left="1440" w:hanging="360"/>
      </w:pPr>
      <w:rPr>
        <w:rFonts w:ascii="Courier New" w:hAnsi="Courier New" w:cs="Courier New" w:hint="default"/>
      </w:rPr>
    </w:lvl>
    <w:lvl w:ilvl="2" w:tplc="C1009E28">
      <w:start w:val="1"/>
      <w:numFmt w:val="bullet"/>
      <w:lvlText w:val=""/>
      <w:lvlJc w:val="left"/>
      <w:pPr>
        <w:ind w:left="2160" w:hanging="360"/>
      </w:pPr>
      <w:rPr>
        <w:rFonts w:ascii="Wingdings" w:hAnsi="Wingdings" w:hint="default"/>
      </w:rPr>
    </w:lvl>
    <w:lvl w:ilvl="3" w:tplc="D240887A">
      <w:start w:val="1"/>
      <w:numFmt w:val="bullet"/>
      <w:lvlText w:val=""/>
      <w:lvlJc w:val="left"/>
      <w:pPr>
        <w:ind w:left="2880" w:hanging="360"/>
      </w:pPr>
      <w:rPr>
        <w:rFonts w:ascii="Symbol" w:hAnsi="Symbol" w:hint="default"/>
      </w:rPr>
    </w:lvl>
    <w:lvl w:ilvl="4" w:tplc="39748D20">
      <w:start w:val="1"/>
      <w:numFmt w:val="bullet"/>
      <w:lvlText w:val="o"/>
      <w:lvlJc w:val="left"/>
      <w:pPr>
        <w:ind w:left="3600" w:hanging="360"/>
      </w:pPr>
      <w:rPr>
        <w:rFonts w:ascii="Courier New" w:hAnsi="Courier New" w:cs="Courier New" w:hint="default"/>
      </w:rPr>
    </w:lvl>
    <w:lvl w:ilvl="5" w:tplc="A7DAD4BC">
      <w:start w:val="1"/>
      <w:numFmt w:val="bullet"/>
      <w:lvlText w:val=""/>
      <w:lvlJc w:val="left"/>
      <w:pPr>
        <w:ind w:left="4320" w:hanging="360"/>
      </w:pPr>
      <w:rPr>
        <w:rFonts w:ascii="Wingdings" w:hAnsi="Wingdings" w:hint="default"/>
      </w:rPr>
    </w:lvl>
    <w:lvl w:ilvl="6" w:tplc="BF0E0D78">
      <w:start w:val="1"/>
      <w:numFmt w:val="bullet"/>
      <w:lvlText w:val=""/>
      <w:lvlJc w:val="left"/>
      <w:pPr>
        <w:ind w:left="5040" w:hanging="360"/>
      </w:pPr>
      <w:rPr>
        <w:rFonts w:ascii="Symbol" w:hAnsi="Symbol" w:hint="default"/>
      </w:rPr>
    </w:lvl>
    <w:lvl w:ilvl="7" w:tplc="17EC2D72">
      <w:start w:val="1"/>
      <w:numFmt w:val="bullet"/>
      <w:lvlText w:val="o"/>
      <w:lvlJc w:val="left"/>
      <w:pPr>
        <w:ind w:left="5760" w:hanging="360"/>
      </w:pPr>
      <w:rPr>
        <w:rFonts w:ascii="Courier New" w:hAnsi="Courier New" w:cs="Courier New" w:hint="default"/>
      </w:rPr>
    </w:lvl>
    <w:lvl w:ilvl="8" w:tplc="E14E1FA0">
      <w:start w:val="1"/>
      <w:numFmt w:val="bullet"/>
      <w:lvlText w:val=""/>
      <w:lvlJc w:val="left"/>
      <w:pPr>
        <w:ind w:left="6480" w:hanging="360"/>
      </w:pPr>
      <w:rPr>
        <w:rFonts w:ascii="Wingdings" w:hAnsi="Wingdings" w:hint="default"/>
      </w:rPr>
    </w:lvl>
  </w:abstractNum>
  <w:abstractNum w:abstractNumId="14" w15:restartNumberingAfterBreak="0">
    <w:nsid w:val="30B1283A"/>
    <w:multiLevelType w:val="hybridMultilevel"/>
    <w:tmpl w:val="9DAEB188"/>
    <w:lvl w:ilvl="0" w:tplc="BAD4F90E">
      <w:start w:val="1"/>
      <w:numFmt w:val="bullet"/>
      <w:lvlText w:val=""/>
      <w:lvlJc w:val="left"/>
      <w:pPr>
        <w:ind w:left="1069" w:hanging="360"/>
      </w:pPr>
      <w:rPr>
        <w:rFonts w:ascii="Wingdings" w:hAnsi="Wingdings" w:hint="default"/>
        <w:b/>
        <w:color w:val="F3C345"/>
        <w:sz w:val="20"/>
      </w:rPr>
    </w:lvl>
    <w:lvl w:ilvl="1" w:tplc="040C0003" w:tentative="1">
      <w:start w:val="1"/>
      <w:numFmt w:val="bullet"/>
      <w:lvlText w:val="o"/>
      <w:lvlJc w:val="left"/>
      <w:pPr>
        <w:ind w:left="1789" w:hanging="360"/>
      </w:pPr>
      <w:rPr>
        <w:rFonts w:ascii="Courier New" w:hAnsi="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5" w15:restartNumberingAfterBreak="0">
    <w:nsid w:val="38D73D38"/>
    <w:multiLevelType w:val="hybridMultilevel"/>
    <w:tmpl w:val="97E0D34A"/>
    <w:lvl w:ilvl="0" w:tplc="61F2DD06">
      <w:start w:val="1"/>
      <w:numFmt w:val="bullet"/>
      <w:pStyle w:val="puce1"/>
      <w:lvlText w:val=""/>
      <w:lvlJc w:val="left"/>
      <w:pPr>
        <w:ind w:left="720" w:hanging="360"/>
      </w:pPr>
      <w:rPr>
        <w:rFonts w:ascii="Wingdings" w:hAnsi="Wingdings" w:hint="default"/>
        <w:b/>
        <w:color w:val="F3C345"/>
      </w:rPr>
    </w:lvl>
    <w:lvl w:ilvl="1" w:tplc="A84E4F52">
      <w:start w:val="1"/>
      <w:numFmt w:val="bullet"/>
      <w:lvlText w:val="o"/>
      <w:lvlJc w:val="left"/>
      <w:pPr>
        <w:ind w:left="1440" w:hanging="360"/>
      </w:pPr>
      <w:rPr>
        <w:rFonts w:ascii="Courier New" w:hAnsi="Courier New" w:cs="Courier New" w:hint="default"/>
      </w:rPr>
    </w:lvl>
    <w:lvl w:ilvl="2" w:tplc="4F444C2C">
      <w:start w:val="1"/>
      <w:numFmt w:val="bullet"/>
      <w:lvlText w:val=""/>
      <w:lvlJc w:val="left"/>
      <w:pPr>
        <w:ind w:left="2160" w:hanging="360"/>
      </w:pPr>
      <w:rPr>
        <w:rFonts w:ascii="Wingdings" w:hAnsi="Wingdings" w:hint="default"/>
      </w:rPr>
    </w:lvl>
    <w:lvl w:ilvl="3" w:tplc="B9DA55B6">
      <w:start w:val="1"/>
      <w:numFmt w:val="bullet"/>
      <w:lvlText w:val=""/>
      <w:lvlJc w:val="left"/>
      <w:pPr>
        <w:ind w:left="2880" w:hanging="360"/>
      </w:pPr>
      <w:rPr>
        <w:rFonts w:ascii="Symbol" w:hAnsi="Symbol" w:hint="default"/>
      </w:rPr>
    </w:lvl>
    <w:lvl w:ilvl="4" w:tplc="A230AD80">
      <w:start w:val="1"/>
      <w:numFmt w:val="bullet"/>
      <w:lvlText w:val="o"/>
      <w:lvlJc w:val="left"/>
      <w:pPr>
        <w:ind w:left="3600" w:hanging="360"/>
      </w:pPr>
      <w:rPr>
        <w:rFonts w:ascii="Courier New" w:hAnsi="Courier New" w:cs="Courier New" w:hint="default"/>
      </w:rPr>
    </w:lvl>
    <w:lvl w:ilvl="5" w:tplc="8834D4CC">
      <w:start w:val="1"/>
      <w:numFmt w:val="bullet"/>
      <w:lvlText w:val=""/>
      <w:lvlJc w:val="left"/>
      <w:pPr>
        <w:ind w:left="4320" w:hanging="360"/>
      </w:pPr>
      <w:rPr>
        <w:rFonts w:ascii="Wingdings" w:hAnsi="Wingdings" w:hint="default"/>
      </w:rPr>
    </w:lvl>
    <w:lvl w:ilvl="6" w:tplc="2EAABD36">
      <w:start w:val="1"/>
      <w:numFmt w:val="bullet"/>
      <w:lvlText w:val=""/>
      <w:lvlJc w:val="left"/>
      <w:pPr>
        <w:ind w:left="5040" w:hanging="360"/>
      </w:pPr>
      <w:rPr>
        <w:rFonts w:ascii="Symbol" w:hAnsi="Symbol" w:hint="default"/>
      </w:rPr>
    </w:lvl>
    <w:lvl w:ilvl="7" w:tplc="45B82548">
      <w:start w:val="1"/>
      <w:numFmt w:val="bullet"/>
      <w:lvlText w:val="o"/>
      <w:lvlJc w:val="left"/>
      <w:pPr>
        <w:ind w:left="5760" w:hanging="360"/>
      </w:pPr>
      <w:rPr>
        <w:rFonts w:ascii="Courier New" w:hAnsi="Courier New" w:cs="Courier New" w:hint="default"/>
      </w:rPr>
    </w:lvl>
    <w:lvl w:ilvl="8" w:tplc="ACFA6232">
      <w:start w:val="1"/>
      <w:numFmt w:val="bullet"/>
      <w:lvlText w:val=""/>
      <w:lvlJc w:val="left"/>
      <w:pPr>
        <w:ind w:left="6480" w:hanging="360"/>
      </w:pPr>
      <w:rPr>
        <w:rFonts w:ascii="Wingdings" w:hAnsi="Wingdings" w:hint="default"/>
      </w:rPr>
    </w:lvl>
  </w:abstractNum>
  <w:abstractNum w:abstractNumId="16" w15:restartNumberingAfterBreak="0">
    <w:nsid w:val="3B56128B"/>
    <w:multiLevelType w:val="hybridMultilevel"/>
    <w:tmpl w:val="E88A98DC"/>
    <w:lvl w:ilvl="0" w:tplc="3D929100">
      <w:start w:val="1"/>
      <w:numFmt w:val="bullet"/>
      <w:lvlText w:val=""/>
      <w:lvlJc w:val="left"/>
      <w:pPr>
        <w:ind w:left="1069" w:hanging="360"/>
      </w:pPr>
      <w:rPr>
        <w:rFonts w:ascii="Wingdings" w:hAnsi="Wingdings" w:hint="default"/>
        <w:b/>
        <w:color w:val="F3C345"/>
        <w:sz w:val="20"/>
      </w:rPr>
    </w:lvl>
    <w:lvl w:ilvl="1" w:tplc="040C0003">
      <w:start w:val="1"/>
      <w:numFmt w:val="bullet"/>
      <w:lvlText w:val="o"/>
      <w:lvlJc w:val="left"/>
      <w:pPr>
        <w:ind w:left="1789" w:hanging="360"/>
      </w:pPr>
      <w:rPr>
        <w:rFonts w:ascii="Courier New" w:hAnsi="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7" w15:restartNumberingAfterBreak="0">
    <w:nsid w:val="3C2B723A"/>
    <w:multiLevelType w:val="hybridMultilevel"/>
    <w:tmpl w:val="E148282A"/>
    <w:lvl w:ilvl="0" w:tplc="5BA07832">
      <w:start w:val="1"/>
      <w:numFmt w:val="bullet"/>
      <w:pStyle w:val="PuceA"/>
      <w:lvlText w:val=""/>
      <w:lvlJc w:val="left"/>
      <w:pPr>
        <w:ind w:left="720" w:hanging="360"/>
      </w:pPr>
      <w:rPr>
        <w:rFonts w:ascii="Symbol" w:hAnsi="Symbol" w:hint="default"/>
      </w:rPr>
    </w:lvl>
    <w:lvl w:ilvl="1" w:tplc="7A56CABE">
      <w:start w:val="1"/>
      <w:numFmt w:val="bullet"/>
      <w:pStyle w:val="PuceB"/>
      <w:lvlText w:val="o"/>
      <w:lvlJc w:val="left"/>
      <w:pPr>
        <w:ind w:left="1440" w:hanging="360"/>
      </w:pPr>
      <w:rPr>
        <w:rFonts w:ascii="Courier New" w:hAnsi="Courier New" w:cs="Courier New" w:hint="default"/>
      </w:rPr>
    </w:lvl>
    <w:lvl w:ilvl="2" w:tplc="5F8E54AA">
      <w:start w:val="1"/>
      <w:numFmt w:val="bullet"/>
      <w:pStyle w:val="PuceC"/>
      <w:lvlText w:val=""/>
      <w:lvlJc w:val="left"/>
      <w:pPr>
        <w:ind w:left="2160" w:hanging="360"/>
      </w:pPr>
      <w:rPr>
        <w:rFonts w:ascii="Wingdings" w:hAnsi="Wingdings" w:hint="default"/>
      </w:rPr>
    </w:lvl>
    <w:lvl w:ilvl="3" w:tplc="7D409EEC">
      <w:start w:val="1"/>
      <w:numFmt w:val="bullet"/>
      <w:lvlText w:val=""/>
      <w:lvlJc w:val="left"/>
      <w:pPr>
        <w:ind w:left="2880" w:hanging="360"/>
      </w:pPr>
      <w:rPr>
        <w:rFonts w:ascii="Symbol" w:hAnsi="Symbol" w:hint="default"/>
      </w:rPr>
    </w:lvl>
    <w:lvl w:ilvl="4" w:tplc="6DB63680">
      <w:start w:val="1"/>
      <w:numFmt w:val="bullet"/>
      <w:lvlText w:val="o"/>
      <w:lvlJc w:val="left"/>
      <w:pPr>
        <w:ind w:left="3600" w:hanging="360"/>
      </w:pPr>
      <w:rPr>
        <w:rFonts w:ascii="Courier New" w:hAnsi="Courier New" w:cs="Courier New" w:hint="default"/>
      </w:rPr>
    </w:lvl>
    <w:lvl w:ilvl="5" w:tplc="47C4A88E">
      <w:start w:val="1"/>
      <w:numFmt w:val="bullet"/>
      <w:lvlText w:val=""/>
      <w:lvlJc w:val="left"/>
      <w:pPr>
        <w:ind w:left="4320" w:hanging="360"/>
      </w:pPr>
      <w:rPr>
        <w:rFonts w:ascii="Wingdings" w:hAnsi="Wingdings" w:hint="default"/>
      </w:rPr>
    </w:lvl>
    <w:lvl w:ilvl="6" w:tplc="F8D47DFA">
      <w:start w:val="1"/>
      <w:numFmt w:val="bullet"/>
      <w:lvlText w:val=""/>
      <w:lvlJc w:val="left"/>
      <w:pPr>
        <w:ind w:left="5040" w:hanging="360"/>
      </w:pPr>
      <w:rPr>
        <w:rFonts w:ascii="Symbol" w:hAnsi="Symbol" w:hint="default"/>
      </w:rPr>
    </w:lvl>
    <w:lvl w:ilvl="7" w:tplc="61DEFA2E">
      <w:start w:val="1"/>
      <w:numFmt w:val="bullet"/>
      <w:lvlText w:val="o"/>
      <w:lvlJc w:val="left"/>
      <w:pPr>
        <w:ind w:left="5760" w:hanging="360"/>
      </w:pPr>
      <w:rPr>
        <w:rFonts w:ascii="Courier New" w:hAnsi="Courier New" w:cs="Courier New" w:hint="default"/>
      </w:rPr>
    </w:lvl>
    <w:lvl w:ilvl="8" w:tplc="709A511E">
      <w:start w:val="1"/>
      <w:numFmt w:val="bullet"/>
      <w:lvlText w:val=""/>
      <w:lvlJc w:val="left"/>
      <w:pPr>
        <w:ind w:left="6480" w:hanging="360"/>
      </w:pPr>
      <w:rPr>
        <w:rFonts w:ascii="Wingdings" w:hAnsi="Wingdings" w:hint="default"/>
      </w:rPr>
    </w:lvl>
  </w:abstractNum>
  <w:abstractNum w:abstractNumId="18" w15:restartNumberingAfterBreak="0">
    <w:nsid w:val="41A51E0A"/>
    <w:multiLevelType w:val="multilevel"/>
    <w:tmpl w:val="74EC15E2"/>
    <w:lvl w:ilvl="0">
      <w:start w:val="1"/>
      <w:numFmt w:val="decimal"/>
      <w:pStyle w:val="Titre1ALTEREA2018"/>
      <w:lvlText w:val="%1."/>
      <w:lvlJc w:val="left"/>
      <w:pPr>
        <w:ind w:left="360" w:hanging="360"/>
      </w:pPr>
      <w:rPr>
        <w:rFonts w:ascii="Arial Gras" w:hAnsi="Arial Gras" w:hint="default"/>
        <w:b/>
        <w:bCs w:val="0"/>
        <w:i w:val="0"/>
        <w:iCs w:val="0"/>
        <w:caps w:val="0"/>
        <w:smallCaps w:val="0"/>
        <w:strike w:val="0"/>
        <w:vanish w:val="0"/>
        <w:spacing w:val="0"/>
        <w:position w:val="0"/>
        <w:sz w:val="30"/>
        <w:u w:val="none"/>
        <w:vertAlign w:val="baseline"/>
        <w14:textOutline w14:w="0" w14:cap="rnd" w14:cmpd="sng" w14:algn="ctr">
          <w14:noFill/>
          <w14:prstDash w14:val="solid"/>
          <w14:bevel/>
        </w14:textOutline>
      </w:rPr>
    </w:lvl>
    <w:lvl w:ilvl="1">
      <w:start w:val="1"/>
      <w:numFmt w:val="decimal"/>
      <w:pStyle w:val="Titre2"/>
      <w:lvlText w:val="%1.%2"/>
      <w:lvlJc w:val="left"/>
      <w:pPr>
        <w:ind w:left="0" w:firstLine="0"/>
      </w:pPr>
      <w:rPr>
        <w:rFonts w:hint="default"/>
        <w:b/>
        <w:bCs/>
        <w:i w:val="0"/>
        <w:iCs w:val="0"/>
        <w:caps w:val="0"/>
        <w:smallCaps w:val="0"/>
        <w:strike w:val="0"/>
        <w:vanish w:val="0"/>
        <w:color w:val="605C5B"/>
        <w:spacing w:val="0"/>
        <w:position w:val="0"/>
        <w:u w:val="none"/>
        <w:vertAlign w:val="baseline"/>
        <w14:textOutline w14:w="0" w14:cap="rnd" w14:cmpd="sng" w14:algn="ctr">
          <w14:noFill/>
          <w14:prstDash w14:val="solid"/>
          <w14:bevel/>
        </w14:textOutline>
      </w:rPr>
    </w:lvl>
    <w:lvl w:ilvl="2">
      <w:start w:val="1"/>
      <w:numFmt w:val="decimal"/>
      <w:pStyle w:val="Titre3"/>
      <w:lvlText w:val="%1.%2.%3"/>
      <w:lvlJc w:val="left"/>
      <w:pPr>
        <w:ind w:left="1004" w:hanging="720"/>
      </w:pPr>
      <w:rPr>
        <w:rFonts w:hint="default"/>
        <w:b/>
        <w:bCs w:val="0"/>
        <w:i w:val="0"/>
        <w:iCs w:val="0"/>
        <w:caps w:val="0"/>
        <w:smallCaps w:val="0"/>
        <w:strike w:val="0"/>
        <w:vanish w:val="0"/>
        <w:spacing w:val="0"/>
        <w:position w:val="0"/>
        <w:u w:val="none"/>
        <w:vertAlign w:val="baseline"/>
        <w14:textOutline w14:w="0" w14:cap="rnd" w14:cmpd="sng" w14:algn="ctr">
          <w14:noFill/>
          <w14:prstDash w14:val="solid"/>
          <w14:bevel/>
        </w14:textOutline>
      </w:rPr>
    </w:lvl>
    <w:lvl w:ilvl="3">
      <w:start w:val="1"/>
      <w:numFmt w:val="decimal"/>
      <w:pStyle w:val="Titre4ALTEREA2018"/>
      <w:lvlText w:val="%1.%2.%3.%4"/>
      <w:lvlJc w:val="left"/>
      <w:pPr>
        <w:ind w:left="864" w:hanging="864"/>
      </w:pPr>
      <w:rPr>
        <w:rFonts w:hint="default"/>
        <w:b w:val="0"/>
        <w:i w:val="0"/>
        <w:iCs w:val="0"/>
        <w:sz w:val="22"/>
        <w:szCs w:val="22"/>
      </w:rPr>
    </w:lvl>
    <w:lvl w:ilvl="4">
      <w:start w:val="1"/>
      <w:numFmt w:val="decimal"/>
      <w:pStyle w:val="Titre5ALTEREA2018"/>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44A95BCA"/>
    <w:multiLevelType w:val="hybridMultilevel"/>
    <w:tmpl w:val="318405EC"/>
    <w:lvl w:ilvl="0" w:tplc="1C646930">
      <w:start w:val="1"/>
      <w:numFmt w:val="bullet"/>
      <w:lvlText w:val=""/>
      <w:lvlJc w:val="left"/>
      <w:pPr>
        <w:ind w:left="720" w:hanging="360"/>
      </w:pPr>
      <w:rPr>
        <w:rFonts w:ascii="Wingdings" w:hAnsi="Wingdings" w:hint="default"/>
        <w:color w:val="FFC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9FD447A"/>
    <w:multiLevelType w:val="hybridMultilevel"/>
    <w:tmpl w:val="895C0AAE"/>
    <w:lvl w:ilvl="0" w:tplc="18920186">
      <w:start w:val="1"/>
      <w:numFmt w:val="bullet"/>
      <w:pStyle w:val="corps-zonedetexte"/>
      <w:lvlText w:val=""/>
      <w:lvlJc w:val="left"/>
      <w:pPr>
        <w:ind w:left="360" w:hanging="360"/>
      </w:pPr>
      <w:rPr>
        <w:rFonts w:ascii="Symbol" w:hAnsi="Symbol" w:hint="default"/>
      </w:rPr>
    </w:lvl>
    <w:lvl w:ilvl="1" w:tplc="EDDCAE04">
      <w:start w:val="1"/>
      <w:numFmt w:val="bullet"/>
      <w:lvlText w:val="o"/>
      <w:lvlJc w:val="left"/>
      <w:pPr>
        <w:ind w:left="1080" w:hanging="360"/>
      </w:pPr>
      <w:rPr>
        <w:rFonts w:ascii="Courier New" w:hAnsi="Courier New" w:cs="Courier New" w:hint="default"/>
      </w:rPr>
    </w:lvl>
    <w:lvl w:ilvl="2" w:tplc="51BADAC4">
      <w:start w:val="1"/>
      <w:numFmt w:val="bullet"/>
      <w:lvlText w:val=""/>
      <w:lvlJc w:val="left"/>
      <w:pPr>
        <w:ind w:left="1800" w:hanging="360"/>
      </w:pPr>
      <w:rPr>
        <w:rFonts w:ascii="Wingdings" w:hAnsi="Wingdings" w:hint="default"/>
      </w:rPr>
    </w:lvl>
    <w:lvl w:ilvl="3" w:tplc="34C26276">
      <w:start w:val="1"/>
      <w:numFmt w:val="bullet"/>
      <w:lvlText w:val=""/>
      <w:lvlJc w:val="left"/>
      <w:pPr>
        <w:ind w:left="2520" w:hanging="360"/>
      </w:pPr>
      <w:rPr>
        <w:rFonts w:ascii="Symbol" w:hAnsi="Symbol" w:hint="default"/>
      </w:rPr>
    </w:lvl>
    <w:lvl w:ilvl="4" w:tplc="DB866704">
      <w:start w:val="1"/>
      <w:numFmt w:val="bullet"/>
      <w:lvlText w:val="o"/>
      <w:lvlJc w:val="left"/>
      <w:pPr>
        <w:ind w:left="3240" w:hanging="360"/>
      </w:pPr>
      <w:rPr>
        <w:rFonts w:ascii="Courier New" w:hAnsi="Courier New" w:cs="Courier New" w:hint="default"/>
      </w:rPr>
    </w:lvl>
    <w:lvl w:ilvl="5" w:tplc="6FCEBE00">
      <w:start w:val="1"/>
      <w:numFmt w:val="bullet"/>
      <w:lvlText w:val=""/>
      <w:lvlJc w:val="left"/>
      <w:pPr>
        <w:ind w:left="3960" w:hanging="360"/>
      </w:pPr>
      <w:rPr>
        <w:rFonts w:ascii="Wingdings" w:hAnsi="Wingdings" w:hint="default"/>
      </w:rPr>
    </w:lvl>
    <w:lvl w:ilvl="6" w:tplc="8C18DAAE">
      <w:start w:val="1"/>
      <w:numFmt w:val="bullet"/>
      <w:lvlText w:val=""/>
      <w:lvlJc w:val="left"/>
      <w:pPr>
        <w:ind w:left="4680" w:hanging="360"/>
      </w:pPr>
      <w:rPr>
        <w:rFonts w:ascii="Symbol" w:hAnsi="Symbol" w:hint="default"/>
      </w:rPr>
    </w:lvl>
    <w:lvl w:ilvl="7" w:tplc="F3C208DE">
      <w:start w:val="1"/>
      <w:numFmt w:val="bullet"/>
      <w:lvlText w:val="o"/>
      <w:lvlJc w:val="left"/>
      <w:pPr>
        <w:ind w:left="5400" w:hanging="360"/>
      </w:pPr>
      <w:rPr>
        <w:rFonts w:ascii="Courier New" w:hAnsi="Courier New" w:cs="Courier New" w:hint="default"/>
      </w:rPr>
    </w:lvl>
    <w:lvl w:ilvl="8" w:tplc="8668EBB2">
      <w:start w:val="1"/>
      <w:numFmt w:val="bullet"/>
      <w:lvlText w:val=""/>
      <w:lvlJc w:val="left"/>
      <w:pPr>
        <w:ind w:left="6120" w:hanging="360"/>
      </w:pPr>
      <w:rPr>
        <w:rFonts w:ascii="Wingdings" w:hAnsi="Wingdings" w:hint="default"/>
      </w:rPr>
    </w:lvl>
  </w:abstractNum>
  <w:abstractNum w:abstractNumId="21" w15:restartNumberingAfterBreak="0">
    <w:nsid w:val="4ABE0FB2"/>
    <w:multiLevelType w:val="hybridMultilevel"/>
    <w:tmpl w:val="57A4BB4A"/>
    <w:lvl w:ilvl="0" w:tplc="2A489662">
      <w:start w:val="1"/>
      <w:numFmt w:val="bullet"/>
      <w:lvlText w:val=""/>
      <w:lvlJc w:val="left"/>
      <w:pPr>
        <w:ind w:left="720" w:hanging="360"/>
      </w:pPr>
      <w:rPr>
        <w:rFonts w:ascii="Wingdings" w:hAnsi="Wingdings" w:hint="default"/>
        <w:color w:val="F3C345"/>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AFC771E"/>
    <w:multiLevelType w:val="hybridMultilevel"/>
    <w:tmpl w:val="3CB4374C"/>
    <w:lvl w:ilvl="0" w:tplc="53101282">
      <w:start w:val="1"/>
      <w:numFmt w:val="bullet"/>
      <w:lvlText w:val=""/>
      <w:lvlJc w:val="left"/>
      <w:pPr>
        <w:ind w:left="720" w:hanging="360"/>
      </w:pPr>
      <w:rPr>
        <w:rFonts w:ascii="Wingdings" w:hAnsi="Wingdings" w:hint="default"/>
        <w:color w:val="FFC000"/>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EED2FBD"/>
    <w:multiLevelType w:val="hybridMultilevel"/>
    <w:tmpl w:val="47BC43D2"/>
    <w:lvl w:ilvl="0" w:tplc="1A884566">
      <w:start w:val="1"/>
      <w:numFmt w:val="bullet"/>
      <w:pStyle w:val="Puces0"/>
      <w:lvlText w:val=""/>
      <w:lvlJc w:val="left"/>
      <w:pPr>
        <w:ind w:left="720" w:hanging="360"/>
      </w:pPr>
      <w:rPr>
        <w:rFonts w:ascii="Wingdings" w:hAnsi="Wingdings" w:hint="default"/>
        <w:b/>
        <w:color w:val="F3C345"/>
      </w:rPr>
    </w:lvl>
    <w:lvl w:ilvl="1" w:tplc="BDF85DBE">
      <w:start w:val="1"/>
      <w:numFmt w:val="bullet"/>
      <w:lvlText w:val="o"/>
      <w:lvlJc w:val="left"/>
      <w:pPr>
        <w:ind w:left="1440" w:hanging="360"/>
      </w:pPr>
      <w:rPr>
        <w:rFonts w:ascii="Courier New" w:hAnsi="Courier New" w:cs="Courier New" w:hint="default"/>
      </w:rPr>
    </w:lvl>
    <w:lvl w:ilvl="2" w:tplc="CC743A12">
      <w:start w:val="1"/>
      <w:numFmt w:val="bullet"/>
      <w:lvlText w:val=""/>
      <w:lvlJc w:val="left"/>
      <w:pPr>
        <w:ind w:left="2160" w:hanging="360"/>
      </w:pPr>
      <w:rPr>
        <w:rFonts w:ascii="Wingdings" w:hAnsi="Wingdings" w:hint="default"/>
      </w:rPr>
    </w:lvl>
    <w:lvl w:ilvl="3" w:tplc="276E1ADC">
      <w:start w:val="1"/>
      <w:numFmt w:val="bullet"/>
      <w:lvlText w:val=""/>
      <w:lvlJc w:val="left"/>
      <w:pPr>
        <w:ind w:left="2880" w:hanging="360"/>
      </w:pPr>
      <w:rPr>
        <w:rFonts w:ascii="Symbol" w:hAnsi="Symbol" w:hint="default"/>
      </w:rPr>
    </w:lvl>
    <w:lvl w:ilvl="4" w:tplc="B0A2AF66">
      <w:start w:val="1"/>
      <w:numFmt w:val="bullet"/>
      <w:lvlText w:val="o"/>
      <w:lvlJc w:val="left"/>
      <w:pPr>
        <w:ind w:left="3600" w:hanging="360"/>
      </w:pPr>
      <w:rPr>
        <w:rFonts w:ascii="Courier New" w:hAnsi="Courier New" w:cs="Courier New" w:hint="default"/>
      </w:rPr>
    </w:lvl>
    <w:lvl w:ilvl="5" w:tplc="874C0F28">
      <w:start w:val="1"/>
      <w:numFmt w:val="bullet"/>
      <w:lvlText w:val=""/>
      <w:lvlJc w:val="left"/>
      <w:pPr>
        <w:ind w:left="4320" w:hanging="360"/>
      </w:pPr>
      <w:rPr>
        <w:rFonts w:ascii="Wingdings" w:hAnsi="Wingdings" w:hint="default"/>
      </w:rPr>
    </w:lvl>
    <w:lvl w:ilvl="6" w:tplc="BC4E8F62">
      <w:start w:val="1"/>
      <w:numFmt w:val="bullet"/>
      <w:lvlText w:val=""/>
      <w:lvlJc w:val="left"/>
      <w:pPr>
        <w:ind w:left="5040" w:hanging="360"/>
      </w:pPr>
      <w:rPr>
        <w:rFonts w:ascii="Symbol" w:hAnsi="Symbol" w:hint="default"/>
      </w:rPr>
    </w:lvl>
    <w:lvl w:ilvl="7" w:tplc="1EC6E46E">
      <w:start w:val="1"/>
      <w:numFmt w:val="bullet"/>
      <w:lvlText w:val="o"/>
      <w:lvlJc w:val="left"/>
      <w:pPr>
        <w:ind w:left="5760" w:hanging="360"/>
      </w:pPr>
      <w:rPr>
        <w:rFonts w:ascii="Courier New" w:hAnsi="Courier New" w:cs="Courier New" w:hint="default"/>
      </w:rPr>
    </w:lvl>
    <w:lvl w:ilvl="8" w:tplc="046A8EB8">
      <w:start w:val="1"/>
      <w:numFmt w:val="bullet"/>
      <w:lvlText w:val=""/>
      <w:lvlJc w:val="left"/>
      <w:pPr>
        <w:ind w:left="6480" w:hanging="360"/>
      </w:pPr>
      <w:rPr>
        <w:rFonts w:ascii="Wingdings" w:hAnsi="Wingdings" w:hint="default"/>
      </w:rPr>
    </w:lvl>
  </w:abstractNum>
  <w:abstractNum w:abstractNumId="24" w15:restartNumberingAfterBreak="0">
    <w:nsid w:val="5088449D"/>
    <w:multiLevelType w:val="multilevel"/>
    <w:tmpl w:val="FEF83596"/>
    <w:lvl w:ilvl="0">
      <w:start w:val="1"/>
      <w:numFmt w:val="decimal"/>
      <w:pStyle w:val="Titre5bis"/>
      <w:lvlText w:val="%1"/>
      <w:lvlJc w:val="left"/>
      <w:pPr>
        <w:ind w:left="432" w:hanging="432"/>
      </w:pPr>
      <w:rPr>
        <w:rFonts w:hint="default"/>
      </w:rPr>
    </w:lvl>
    <w:lvl w:ilvl="1">
      <w:start w:val="1"/>
      <w:numFmt w:val="decimal"/>
      <w:lvlText w:val="%1.%2"/>
      <w:lvlJc w:val="left"/>
      <w:pPr>
        <w:ind w:left="576" w:hanging="576"/>
      </w:pPr>
      <w:rPr>
        <w:b/>
        <w:bCs w:val="0"/>
        <w:i w:val="0"/>
        <w:iCs w:val="0"/>
        <w:caps w:val="0"/>
        <w:smallCaps w:val="0"/>
        <w:strike w:val="0"/>
        <w:vanish w:val="0"/>
        <w:color w:val="F3C345" w:themeColor="accent1"/>
        <w:spacing w:val="0"/>
        <w:position w:val="0"/>
        <w:u w:val="none"/>
        <w:vertAlign w:val="baseline"/>
        <w14:textOutline w14:w="0" w14:cap="rnd" w14:cmpd="sng" w14:algn="ctr">
          <w14:noFill/>
          <w14:prstDash w14:val="solid"/>
          <w14:bevel/>
        </w14:textOutline>
      </w:rPr>
    </w:lvl>
    <w:lvl w:ilvl="2">
      <w:start w:val="1"/>
      <w:numFmt w:val="decimal"/>
      <w:lvlText w:val="%1.%2.%3"/>
      <w:lvlJc w:val="left"/>
      <w:pPr>
        <w:ind w:left="862" w:hanging="720"/>
      </w:pPr>
      <w:rPr>
        <w:rFonts w:hint="default"/>
      </w:rPr>
    </w:lvl>
    <w:lvl w:ilvl="3">
      <w:start w:val="1"/>
      <w:numFmt w:val="decimal"/>
      <w:lvlText w:val="%1.%2.%3.%4"/>
      <w:lvlJc w:val="left"/>
      <w:pPr>
        <w:ind w:left="1148" w:hanging="864"/>
      </w:pPr>
      <w:rPr>
        <w:rFonts w:hint="default"/>
        <w:b/>
        <w:sz w:val="22"/>
        <w:szCs w:val="22"/>
      </w:rPr>
    </w:lvl>
    <w:lvl w:ilvl="4">
      <w:start w:val="1"/>
      <w:numFmt w:val="decimal"/>
      <w:pStyle w:val="Titre5bis"/>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54101F74"/>
    <w:multiLevelType w:val="hybridMultilevel"/>
    <w:tmpl w:val="CC02169E"/>
    <w:lvl w:ilvl="0" w:tplc="3D929100">
      <w:start w:val="1"/>
      <w:numFmt w:val="bullet"/>
      <w:lvlText w:val=""/>
      <w:lvlJc w:val="left"/>
      <w:pPr>
        <w:ind w:left="720" w:hanging="360"/>
      </w:pPr>
      <w:rPr>
        <w:rFonts w:ascii="Wingdings" w:hAnsi="Wingdings" w:hint="default"/>
        <w:b/>
        <w:color w:val="F3C34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4CD0684"/>
    <w:multiLevelType w:val="hybridMultilevel"/>
    <w:tmpl w:val="E064EBB4"/>
    <w:lvl w:ilvl="0" w:tplc="DAF0BAF4">
      <w:start w:val="1"/>
      <w:numFmt w:val="bullet"/>
      <w:lvlText w:val=""/>
      <w:lvlJc w:val="left"/>
      <w:pPr>
        <w:ind w:left="720" w:hanging="360"/>
      </w:pPr>
      <w:rPr>
        <w:rFonts w:ascii="Wingdings" w:hAnsi="Wingdings" w:hint="default"/>
        <w:b/>
        <w:color w:val="F3C345"/>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7535AD4"/>
    <w:multiLevelType w:val="hybridMultilevel"/>
    <w:tmpl w:val="5BF8CEEC"/>
    <w:lvl w:ilvl="0" w:tplc="AE9035D2">
      <w:start w:val="1"/>
      <w:numFmt w:val="decimal"/>
      <w:lvlText w:val="%1."/>
      <w:lvlJc w:val="left"/>
      <w:pPr>
        <w:tabs>
          <w:tab w:val="num" w:pos="720"/>
        </w:tabs>
        <w:ind w:left="720" w:hanging="720"/>
      </w:pPr>
    </w:lvl>
    <w:lvl w:ilvl="1" w:tplc="2586E174">
      <w:start w:val="1"/>
      <w:numFmt w:val="decimal"/>
      <w:lvlText w:val="%2."/>
      <w:lvlJc w:val="left"/>
      <w:pPr>
        <w:tabs>
          <w:tab w:val="num" w:pos="1440"/>
        </w:tabs>
        <w:ind w:left="1440" w:hanging="720"/>
      </w:pPr>
    </w:lvl>
    <w:lvl w:ilvl="2" w:tplc="9F90D5A4">
      <w:start w:val="3"/>
      <w:numFmt w:val="bullet"/>
      <w:pStyle w:val="PuceCALTEREA"/>
      <w:lvlText w:val="-"/>
      <w:lvlJc w:val="left"/>
      <w:pPr>
        <w:tabs>
          <w:tab w:val="num" w:pos="2160"/>
        </w:tabs>
        <w:ind w:left="2160" w:hanging="720"/>
      </w:pPr>
      <w:rPr>
        <w:rFonts w:ascii="Arial" w:eastAsia="Times New Roman" w:hAnsi="Arial" w:cs="Arial" w:hint="default"/>
        <w:b/>
        <w:color w:val="F3C345"/>
        <w:sz w:val="22"/>
        <w:szCs w:val="22"/>
      </w:rPr>
    </w:lvl>
    <w:lvl w:ilvl="3" w:tplc="75104BEE">
      <w:start w:val="1"/>
      <w:numFmt w:val="decimal"/>
      <w:lvlText w:val="%4."/>
      <w:lvlJc w:val="left"/>
      <w:pPr>
        <w:tabs>
          <w:tab w:val="num" w:pos="2880"/>
        </w:tabs>
        <w:ind w:left="2880" w:hanging="720"/>
      </w:pPr>
    </w:lvl>
    <w:lvl w:ilvl="4" w:tplc="4456068E">
      <w:start w:val="1"/>
      <w:numFmt w:val="decimal"/>
      <w:lvlText w:val="%5."/>
      <w:lvlJc w:val="left"/>
      <w:pPr>
        <w:tabs>
          <w:tab w:val="num" w:pos="3600"/>
        </w:tabs>
        <w:ind w:left="3600" w:hanging="720"/>
      </w:pPr>
    </w:lvl>
    <w:lvl w:ilvl="5" w:tplc="E0AE2C44">
      <w:start w:val="1"/>
      <w:numFmt w:val="decimal"/>
      <w:lvlText w:val="%6."/>
      <w:lvlJc w:val="left"/>
      <w:pPr>
        <w:tabs>
          <w:tab w:val="num" w:pos="4320"/>
        </w:tabs>
        <w:ind w:left="4320" w:hanging="720"/>
      </w:pPr>
    </w:lvl>
    <w:lvl w:ilvl="6" w:tplc="920A0CF6">
      <w:start w:val="1"/>
      <w:numFmt w:val="decimal"/>
      <w:lvlText w:val="%7."/>
      <w:lvlJc w:val="left"/>
      <w:pPr>
        <w:tabs>
          <w:tab w:val="num" w:pos="5040"/>
        </w:tabs>
        <w:ind w:left="5040" w:hanging="720"/>
      </w:pPr>
    </w:lvl>
    <w:lvl w:ilvl="7" w:tplc="8340B722">
      <w:start w:val="1"/>
      <w:numFmt w:val="decimal"/>
      <w:lvlText w:val="%8."/>
      <w:lvlJc w:val="left"/>
      <w:pPr>
        <w:tabs>
          <w:tab w:val="num" w:pos="5760"/>
        </w:tabs>
        <w:ind w:left="5760" w:hanging="720"/>
      </w:pPr>
    </w:lvl>
    <w:lvl w:ilvl="8" w:tplc="18828158">
      <w:start w:val="1"/>
      <w:numFmt w:val="decimal"/>
      <w:lvlText w:val="%9."/>
      <w:lvlJc w:val="left"/>
      <w:pPr>
        <w:tabs>
          <w:tab w:val="num" w:pos="6480"/>
        </w:tabs>
        <w:ind w:left="6480" w:hanging="720"/>
      </w:pPr>
    </w:lvl>
  </w:abstractNum>
  <w:abstractNum w:abstractNumId="28" w15:restartNumberingAfterBreak="0">
    <w:nsid w:val="59084D2D"/>
    <w:multiLevelType w:val="hybridMultilevel"/>
    <w:tmpl w:val="172654C8"/>
    <w:lvl w:ilvl="0" w:tplc="0E38FB78">
      <w:start w:val="1"/>
      <w:numFmt w:val="bullet"/>
      <w:lvlText w:val=""/>
      <w:lvlJc w:val="left"/>
      <w:pPr>
        <w:ind w:left="720" w:hanging="360"/>
      </w:pPr>
      <w:rPr>
        <w:rFonts w:ascii="Symbol" w:hAnsi="Symbol" w:hint="default"/>
      </w:rPr>
    </w:lvl>
    <w:lvl w:ilvl="1" w:tplc="EC8AEBB6">
      <w:start w:val="1"/>
      <w:numFmt w:val="bullet"/>
      <w:lvlText w:val="o"/>
      <w:lvlJc w:val="left"/>
      <w:pPr>
        <w:ind w:left="1440" w:hanging="360"/>
      </w:pPr>
      <w:rPr>
        <w:rFonts w:ascii="Courier New" w:hAnsi="Courier New" w:cs="Courier New" w:hint="default"/>
      </w:rPr>
    </w:lvl>
    <w:lvl w:ilvl="2" w:tplc="4C46ADD2">
      <w:start w:val="1"/>
      <w:numFmt w:val="bullet"/>
      <w:lvlText w:val=""/>
      <w:lvlJc w:val="left"/>
      <w:pPr>
        <w:ind w:left="2160" w:hanging="360"/>
      </w:pPr>
      <w:rPr>
        <w:rFonts w:ascii="Wingdings" w:hAnsi="Wingdings" w:hint="default"/>
      </w:rPr>
    </w:lvl>
    <w:lvl w:ilvl="3" w:tplc="DCD465F4">
      <w:start w:val="1"/>
      <w:numFmt w:val="bullet"/>
      <w:lvlText w:val=""/>
      <w:lvlJc w:val="left"/>
      <w:pPr>
        <w:ind w:left="2880" w:hanging="360"/>
      </w:pPr>
      <w:rPr>
        <w:rFonts w:ascii="Symbol" w:hAnsi="Symbol" w:hint="default"/>
      </w:rPr>
    </w:lvl>
    <w:lvl w:ilvl="4" w:tplc="BCC4433A">
      <w:start w:val="1"/>
      <w:numFmt w:val="bullet"/>
      <w:lvlText w:val="o"/>
      <w:lvlJc w:val="left"/>
      <w:pPr>
        <w:ind w:left="3600" w:hanging="360"/>
      </w:pPr>
      <w:rPr>
        <w:rFonts w:ascii="Courier New" w:hAnsi="Courier New" w:cs="Courier New" w:hint="default"/>
      </w:rPr>
    </w:lvl>
    <w:lvl w:ilvl="5" w:tplc="63DEBF94">
      <w:start w:val="1"/>
      <w:numFmt w:val="bullet"/>
      <w:lvlText w:val=""/>
      <w:lvlJc w:val="left"/>
      <w:pPr>
        <w:ind w:left="4320" w:hanging="360"/>
      </w:pPr>
      <w:rPr>
        <w:rFonts w:ascii="Wingdings" w:hAnsi="Wingdings" w:hint="default"/>
      </w:rPr>
    </w:lvl>
    <w:lvl w:ilvl="6" w:tplc="0E92410C">
      <w:start w:val="1"/>
      <w:numFmt w:val="bullet"/>
      <w:lvlText w:val=""/>
      <w:lvlJc w:val="left"/>
      <w:pPr>
        <w:ind w:left="5040" w:hanging="360"/>
      </w:pPr>
      <w:rPr>
        <w:rFonts w:ascii="Symbol" w:hAnsi="Symbol" w:hint="default"/>
      </w:rPr>
    </w:lvl>
    <w:lvl w:ilvl="7" w:tplc="D7764466">
      <w:start w:val="1"/>
      <w:numFmt w:val="bullet"/>
      <w:lvlText w:val="o"/>
      <w:lvlJc w:val="left"/>
      <w:pPr>
        <w:ind w:left="5760" w:hanging="360"/>
      </w:pPr>
      <w:rPr>
        <w:rFonts w:ascii="Courier New" w:hAnsi="Courier New" w:cs="Courier New" w:hint="default"/>
      </w:rPr>
    </w:lvl>
    <w:lvl w:ilvl="8" w:tplc="642EA01C">
      <w:start w:val="1"/>
      <w:numFmt w:val="bullet"/>
      <w:lvlText w:val=""/>
      <w:lvlJc w:val="left"/>
      <w:pPr>
        <w:ind w:left="6480" w:hanging="360"/>
      </w:pPr>
      <w:rPr>
        <w:rFonts w:ascii="Wingdings" w:hAnsi="Wingdings" w:hint="default"/>
      </w:rPr>
    </w:lvl>
  </w:abstractNum>
  <w:abstractNum w:abstractNumId="29" w15:restartNumberingAfterBreak="0">
    <w:nsid w:val="5A720CC4"/>
    <w:multiLevelType w:val="hybridMultilevel"/>
    <w:tmpl w:val="F84286E2"/>
    <w:lvl w:ilvl="0" w:tplc="1504AF8A">
      <w:start w:val="1"/>
      <w:numFmt w:val="bullet"/>
      <w:lvlText w:val=""/>
      <w:lvlJc w:val="left"/>
      <w:pPr>
        <w:ind w:left="720" w:hanging="360"/>
      </w:pPr>
      <w:rPr>
        <w:rFonts w:ascii="Wingdings" w:hAnsi="Wingdings" w:hint="default"/>
        <w:b/>
        <w:color w:val="F3C345"/>
      </w:rPr>
    </w:lvl>
    <w:lvl w:ilvl="1" w:tplc="BBF0668E">
      <w:start w:val="3"/>
      <w:numFmt w:val="bullet"/>
      <w:pStyle w:val="puce2"/>
      <w:lvlText w:val="-"/>
      <w:lvlJc w:val="left"/>
      <w:pPr>
        <w:ind w:left="1440" w:hanging="360"/>
      </w:pPr>
      <w:rPr>
        <w:rFonts w:ascii="Arial" w:eastAsia="Times New Roman" w:hAnsi="Arial" w:cs="Arial" w:hint="default"/>
        <w:b/>
        <w:color w:val="F3C345"/>
        <w:sz w:val="22"/>
        <w:szCs w:val="22"/>
      </w:rPr>
    </w:lvl>
    <w:lvl w:ilvl="2" w:tplc="B510A94A">
      <w:start w:val="1"/>
      <w:numFmt w:val="bullet"/>
      <w:lvlText w:val=""/>
      <w:lvlJc w:val="left"/>
      <w:pPr>
        <w:ind w:left="2160" w:hanging="360"/>
      </w:pPr>
      <w:rPr>
        <w:rFonts w:ascii="Wingdings" w:hAnsi="Wingdings" w:hint="default"/>
      </w:rPr>
    </w:lvl>
    <w:lvl w:ilvl="3" w:tplc="ED52FE5C">
      <w:start w:val="1"/>
      <w:numFmt w:val="bullet"/>
      <w:lvlText w:val=""/>
      <w:lvlJc w:val="left"/>
      <w:pPr>
        <w:ind w:left="2880" w:hanging="360"/>
      </w:pPr>
      <w:rPr>
        <w:rFonts w:ascii="Symbol" w:hAnsi="Symbol" w:hint="default"/>
      </w:rPr>
    </w:lvl>
    <w:lvl w:ilvl="4" w:tplc="D6F4E3D8">
      <w:start w:val="1"/>
      <w:numFmt w:val="bullet"/>
      <w:lvlText w:val="o"/>
      <w:lvlJc w:val="left"/>
      <w:pPr>
        <w:ind w:left="3600" w:hanging="360"/>
      </w:pPr>
      <w:rPr>
        <w:rFonts w:ascii="Courier New" w:hAnsi="Courier New" w:cs="Courier New" w:hint="default"/>
      </w:rPr>
    </w:lvl>
    <w:lvl w:ilvl="5" w:tplc="5DBA1636">
      <w:start w:val="1"/>
      <w:numFmt w:val="bullet"/>
      <w:lvlText w:val=""/>
      <w:lvlJc w:val="left"/>
      <w:pPr>
        <w:ind w:left="4320" w:hanging="360"/>
      </w:pPr>
      <w:rPr>
        <w:rFonts w:ascii="Wingdings" w:hAnsi="Wingdings" w:hint="default"/>
      </w:rPr>
    </w:lvl>
    <w:lvl w:ilvl="6" w:tplc="88DCC6DE">
      <w:start w:val="1"/>
      <w:numFmt w:val="bullet"/>
      <w:lvlText w:val=""/>
      <w:lvlJc w:val="left"/>
      <w:pPr>
        <w:ind w:left="5040" w:hanging="360"/>
      </w:pPr>
      <w:rPr>
        <w:rFonts w:ascii="Symbol" w:hAnsi="Symbol" w:hint="default"/>
      </w:rPr>
    </w:lvl>
    <w:lvl w:ilvl="7" w:tplc="B5701CFE">
      <w:start w:val="1"/>
      <w:numFmt w:val="bullet"/>
      <w:lvlText w:val="o"/>
      <w:lvlJc w:val="left"/>
      <w:pPr>
        <w:ind w:left="5760" w:hanging="360"/>
      </w:pPr>
      <w:rPr>
        <w:rFonts w:ascii="Courier New" w:hAnsi="Courier New" w:cs="Courier New" w:hint="default"/>
      </w:rPr>
    </w:lvl>
    <w:lvl w:ilvl="8" w:tplc="C0B473F2">
      <w:start w:val="1"/>
      <w:numFmt w:val="bullet"/>
      <w:lvlText w:val=""/>
      <w:lvlJc w:val="left"/>
      <w:pPr>
        <w:ind w:left="6480" w:hanging="360"/>
      </w:pPr>
      <w:rPr>
        <w:rFonts w:ascii="Wingdings" w:hAnsi="Wingdings" w:hint="default"/>
      </w:rPr>
    </w:lvl>
  </w:abstractNum>
  <w:abstractNum w:abstractNumId="30" w15:restartNumberingAfterBreak="0">
    <w:nsid w:val="5D972DCA"/>
    <w:multiLevelType w:val="hybridMultilevel"/>
    <w:tmpl w:val="ECB6A190"/>
    <w:lvl w:ilvl="0" w:tplc="826A9CA4">
      <w:start w:val="1"/>
      <w:numFmt w:val="bullet"/>
      <w:pStyle w:val="QBO-Puces1"/>
      <w:lvlText w:val=""/>
      <w:lvlJc w:val="left"/>
      <w:pPr>
        <w:ind w:left="720" w:hanging="360"/>
      </w:pPr>
      <w:rPr>
        <w:rFonts w:ascii="Wingdings" w:hAnsi="Wingdings" w:hint="default"/>
        <w:color w:val="FFC00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F825A57"/>
    <w:multiLevelType w:val="hybridMultilevel"/>
    <w:tmpl w:val="F262566A"/>
    <w:styleLink w:val="Styleavecpuces"/>
    <w:lvl w:ilvl="0" w:tplc="A7C2461A">
      <w:start w:val="1"/>
      <w:numFmt w:val="bullet"/>
      <w:pStyle w:val="Styleavecpuces"/>
      <w:lvlText w:val=""/>
      <w:lvlJc w:val="left"/>
      <w:pPr>
        <w:ind w:left="720" w:hanging="360"/>
      </w:pPr>
      <w:rPr>
        <w:rFonts w:ascii="Symbol" w:hAnsi="Symbol"/>
        <w:b/>
        <w:bCs/>
        <w:color w:val="F3C345" w:themeColor="accent1"/>
        <w:sz w:val="20"/>
      </w:rPr>
    </w:lvl>
    <w:lvl w:ilvl="1" w:tplc="A3DCD4D2">
      <w:start w:val="1"/>
      <w:numFmt w:val="bullet"/>
      <w:lvlText w:val="o"/>
      <w:lvlJc w:val="left"/>
      <w:pPr>
        <w:ind w:left="1440" w:hanging="360"/>
      </w:pPr>
      <w:rPr>
        <w:rFonts w:ascii="Courier New" w:hAnsi="Courier New" w:cs="Courier New" w:hint="default"/>
      </w:rPr>
    </w:lvl>
    <w:lvl w:ilvl="2" w:tplc="0E1EEC18">
      <w:start w:val="1"/>
      <w:numFmt w:val="bullet"/>
      <w:lvlText w:val=""/>
      <w:lvlJc w:val="left"/>
      <w:pPr>
        <w:ind w:left="2160" w:hanging="360"/>
      </w:pPr>
      <w:rPr>
        <w:rFonts w:ascii="Wingdings" w:hAnsi="Wingdings" w:hint="default"/>
      </w:rPr>
    </w:lvl>
    <w:lvl w:ilvl="3" w:tplc="D4427F7A">
      <w:start w:val="1"/>
      <w:numFmt w:val="bullet"/>
      <w:lvlText w:val=""/>
      <w:lvlJc w:val="left"/>
      <w:pPr>
        <w:ind w:left="2880" w:hanging="360"/>
      </w:pPr>
      <w:rPr>
        <w:rFonts w:ascii="Symbol" w:hAnsi="Symbol" w:hint="default"/>
      </w:rPr>
    </w:lvl>
    <w:lvl w:ilvl="4" w:tplc="E006ED1E">
      <w:start w:val="1"/>
      <w:numFmt w:val="bullet"/>
      <w:lvlText w:val="o"/>
      <w:lvlJc w:val="left"/>
      <w:pPr>
        <w:ind w:left="3600" w:hanging="360"/>
      </w:pPr>
      <w:rPr>
        <w:rFonts w:ascii="Courier New" w:hAnsi="Courier New" w:cs="Courier New" w:hint="default"/>
      </w:rPr>
    </w:lvl>
    <w:lvl w:ilvl="5" w:tplc="44D619BA">
      <w:start w:val="1"/>
      <w:numFmt w:val="bullet"/>
      <w:lvlText w:val=""/>
      <w:lvlJc w:val="left"/>
      <w:pPr>
        <w:ind w:left="4320" w:hanging="360"/>
      </w:pPr>
      <w:rPr>
        <w:rFonts w:ascii="Wingdings" w:hAnsi="Wingdings" w:hint="default"/>
      </w:rPr>
    </w:lvl>
    <w:lvl w:ilvl="6" w:tplc="43B042CE">
      <w:start w:val="1"/>
      <w:numFmt w:val="bullet"/>
      <w:lvlText w:val=""/>
      <w:lvlJc w:val="left"/>
      <w:pPr>
        <w:ind w:left="5040" w:hanging="360"/>
      </w:pPr>
      <w:rPr>
        <w:rFonts w:ascii="Symbol" w:hAnsi="Symbol" w:hint="default"/>
      </w:rPr>
    </w:lvl>
    <w:lvl w:ilvl="7" w:tplc="4272A3AE">
      <w:start w:val="1"/>
      <w:numFmt w:val="bullet"/>
      <w:lvlText w:val="o"/>
      <w:lvlJc w:val="left"/>
      <w:pPr>
        <w:ind w:left="5760" w:hanging="360"/>
      </w:pPr>
      <w:rPr>
        <w:rFonts w:ascii="Courier New" w:hAnsi="Courier New" w:cs="Courier New" w:hint="default"/>
      </w:rPr>
    </w:lvl>
    <w:lvl w:ilvl="8" w:tplc="EA5C65B0">
      <w:start w:val="1"/>
      <w:numFmt w:val="bullet"/>
      <w:lvlText w:val=""/>
      <w:lvlJc w:val="left"/>
      <w:pPr>
        <w:ind w:left="6480" w:hanging="360"/>
      </w:pPr>
      <w:rPr>
        <w:rFonts w:ascii="Wingdings" w:hAnsi="Wingdings" w:hint="default"/>
      </w:rPr>
    </w:lvl>
  </w:abstractNum>
  <w:abstractNum w:abstractNumId="32" w15:restartNumberingAfterBreak="0">
    <w:nsid w:val="63F90972"/>
    <w:multiLevelType w:val="hybridMultilevel"/>
    <w:tmpl w:val="0B6221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6035CB4"/>
    <w:multiLevelType w:val="hybridMultilevel"/>
    <w:tmpl w:val="7DACACEE"/>
    <w:lvl w:ilvl="0" w:tplc="B7720BE0">
      <w:start w:val="1"/>
      <w:numFmt w:val="bullet"/>
      <w:lvlText w:val=""/>
      <w:lvlJc w:val="left"/>
      <w:pPr>
        <w:ind w:left="720" w:hanging="360"/>
      </w:pPr>
      <w:rPr>
        <w:rFonts w:ascii="Wingdings" w:hAnsi="Wingdings" w:hint="default"/>
        <w:b/>
        <w:color w:val="F3C345"/>
      </w:rPr>
    </w:lvl>
    <w:lvl w:ilvl="1" w:tplc="03C63076">
      <w:start w:val="1"/>
      <w:numFmt w:val="bullet"/>
      <w:lvlText w:val="o"/>
      <w:lvlJc w:val="left"/>
      <w:pPr>
        <w:ind w:left="1440" w:hanging="360"/>
      </w:pPr>
      <w:rPr>
        <w:rFonts w:ascii="Courier New" w:hAnsi="Courier New" w:cs="Courier New" w:hint="default"/>
      </w:rPr>
    </w:lvl>
    <w:lvl w:ilvl="2" w:tplc="64D24AD8">
      <w:start w:val="1"/>
      <w:numFmt w:val="bullet"/>
      <w:lvlText w:val=""/>
      <w:lvlJc w:val="left"/>
      <w:pPr>
        <w:ind w:left="2160" w:hanging="360"/>
      </w:pPr>
      <w:rPr>
        <w:rFonts w:ascii="Wingdings" w:hAnsi="Wingdings" w:hint="default"/>
      </w:rPr>
    </w:lvl>
    <w:lvl w:ilvl="3" w:tplc="B246C81A">
      <w:start w:val="1"/>
      <w:numFmt w:val="bullet"/>
      <w:lvlText w:val=""/>
      <w:lvlJc w:val="left"/>
      <w:pPr>
        <w:ind w:left="2880" w:hanging="360"/>
      </w:pPr>
      <w:rPr>
        <w:rFonts w:ascii="Symbol" w:hAnsi="Symbol" w:hint="default"/>
      </w:rPr>
    </w:lvl>
    <w:lvl w:ilvl="4" w:tplc="FFB4557A">
      <w:start w:val="1"/>
      <w:numFmt w:val="bullet"/>
      <w:lvlText w:val="o"/>
      <w:lvlJc w:val="left"/>
      <w:pPr>
        <w:ind w:left="3600" w:hanging="360"/>
      </w:pPr>
      <w:rPr>
        <w:rFonts w:ascii="Courier New" w:hAnsi="Courier New" w:cs="Courier New" w:hint="default"/>
      </w:rPr>
    </w:lvl>
    <w:lvl w:ilvl="5" w:tplc="A2B81AC2">
      <w:start w:val="1"/>
      <w:numFmt w:val="bullet"/>
      <w:lvlText w:val=""/>
      <w:lvlJc w:val="left"/>
      <w:pPr>
        <w:ind w:left="4320" w:hanging="360"/>
      </w:pPr>
      <w:rPr>
        <w:rFonts w:ascii="Wingdings" w:hAnsi="Wingdings" w:hint="default"/>
      </w:rPr>
    </w:lvl>
    <w:lvl w:ilvl="6" w:tplc="C974ECF2">
      <w:start w:val="1"/>
      <w:numFmt w:val="bullet"/>
      <w:lvlText w:val=""/>
      <w:lvlJc w:val="left"/>
      <w:pPr>
        <w:ind w:left="5040" w:hanging="360"/>
      </w:pPr>
      <w:rPr>
        <w:rFonts w:ascii="Symbol" w:hAnsi="Symbol" w:hint="default"/>
      </w:rPr>
    </w:lvl>
    <w:lvl w:ilvl="7" w:tplc="97CE4AC0">
      <w:start w:val="1"/>
      <w:numFmt w:val="bullet"/>
      <w:lvlText w:val="o"/>
      <w:lvlJc w:val="left"/>
      <w:pPr>
        <w:ind w:left="5760" w:hanging="360"/>
      </w:pPr>
      <w:rPr>
        <w:rFonts w:ascii="Courier New" w:hAnsi="Courier New" w:cs="Courier New" w:hint="default"/>
      </w:rPr>
    </w:lvl>
    <w:lvl w:ilvl="8" w:tplc="1A382254">
      <w:start w:val="1"/>
      <w:numFmt w:val="bullet"/>
      <w:lvlText w:val=""/>
      <w:lvlJc w:val="left"/>
      <w:pPr>
        <w:ind w:left="6480" w:hanging="360"/>
      </w:pPr>
      <w:rPr>
        <w:rFonts w:ascii="Wingdings" w:hAnsi="Wingdings" w:hint="default"/>
      </w:rPr>
    </w:lvl>
  </w:abstractNum>
  <w:abstractNum w:abstractNumId="34" w15:restartNumberingAfterBreak="0">
    <w:nsid w:val="6AA9286A"/>
    <w:multiLevelType w:val="hybridMultilevel"/>
    <w:tmpl w:val="473AE7D8"/>
    <w:lvl w:ilvl="0" w:tplc="03B6AA6A">
      <w:start w:val="1"/>
      <w:numFmt w:val="bullet"/>
      <w:pStyle w:val="PuceAALTEREA"/>
      <w:lvlText w:val=""/>
      <w:lvlJc w:val="left"/>
      <w:pPr>
        <w:tabs>
          <w:tab w:val="num" w:pos="720"/>
        </w:tabs>
        <w:ind w:left="720" w:hanging="720"/>
      </w:pPr>
      <w:rPr>
        <w:rFonts w:ascii="Symbol" w:hAnsi="Symbol" w:hint="default"/>
        <w:b/>
        <w:i w:val="0"/>
        <w:color w:val="F3C345" w:themeColor="accent1"/>
        <w:sz w:val="20"/>
        <w:szCs w:val="22"/>
      </w:rPr>
    </w:lvl>
    <w:lvl w:ilvl="1" w:tplc="4C3E48DA">
      <w:start w:val="1"/>
      <w:numFmt w:val="decimal"/>
      <w:lvlText w:val="%2."/>
      <w:lvlJc w:val="left"/>
      <w:pPr>
        <w:tabs>
          <w:tab w:val="num" w:pos="1440"/>
        </w:tabs>
        <w:ind w:left="1440" w:hanging="720"/>
      </w:pPr>
    </w:lvl>
    <w:lvl w:ilvl="2" w:tplc="415E2BC2">
      <w:start w:val="1"/>
      <w:numFmt w:val="decimal"/>
      <w:lvlText w:val="%3."/>
      <w:lvlJc w:val="left"/>
      <w:pPr>
        <w:tabs>
          <w:tab w:val="num" w:pos="2160"/>
        </w:tabs>
        <w:ind w:left="2160" w:hanging="720"/>
      </w:pPr>
    </w:lvl>
    <w:lvl w:ilvl="3" w:tplc="3FACFB0A">
      <w:start w:val="1"/>
      <w:numFmt w:val="decimal"/>
      <w:lvlText w:val="%4."/>
      <w:lvlJc w:val="left"/>
      <w:pPr>
        <w:tabs>
          <w:tab w:val="num" w:pos="2880"/>
        </w:tabs>
        <w:ind w:left="2880" w:hanging="720"/>
      </w:pPr>
    </w:lvl>
    <w:lvl w:ilvl="4" w:tplc="782E0154">
      <w:start w:val="1"/>
      <w:numFmt w:val="decimal"/>
      <w:lvlText w:val="%5."/>
      <w:lvlJc w:val="left"/>
      <w:pPr>
        <w:tabs>
          <w:tab w:val="num" w:pos="3600"/>
        </w:tabs>
        <w:ind w:left="3600" w:hanging="720"/>
      </w:pPr>
    </w:lvl>
    <w:lvl w:ilvl="5" w:tplc="3426FBB2">
      <w:start w:val="1"/>
      <w:numFmt w:val="decimal"/>
      <w:lvlText w:val="%6."/>
      <w:lvlJc w:val="left"/>
      <w:pPr>
        <w:tabs>
          <w:tab w:val="num" w:pos="4320"/>
        </w:tabs>
        <w:ind w:left="4320" w:hanging="720"/>
      </w:pPr>
    </w:lvl>
    <w:lvl w:ilvl="6" w:tplc="60180D5C">
      <w:start w:val="1"/>
      <w:numFmt w:val="decimal"/>
      <w:lvlText w:val="%7."/>
      <w:lvlJc w:val="left"/>
      <w:pPr>
        <w:tabs>
          <w:tab w:val="num" w:pos="5040"/>
        </w:tabs>
        <w:ind w:left="5040" w:hanging="720"/>
      </w:pPr>
    </w:lvl>
    <w:lvl w:ilvl="7" w:tplc="F9525F34">
      <w:start w:val="1"/>
      <w:numFmt w:val="decimal"/>
      <w:lvlText w:val="%8."/>
      <w:lvlJc w:val="left"/>
      <w:pPr>
        <w:tabs>
          <w:tab w:val="num" w:pos="5760"/>
        </w:tabs>
        <w:ind w:left="5760" w:hanging="720"/>
      </w:pPr>
    </w:lvl>
    <w:lvl w:ilvl="8" w:tplc="CC30C82E">
      <w:start w:val="1"/>
      <w:numFmt w:val="decimal"/>
      <w:lvlText w:val="%9."/>
      <w:lvlJc w:val="left"/>
      <w:pPr>
        <w:tabs>
          <w:tab w:val="num" w:pos="6480"/>
        </w:tabs>
        <w:ind w:left="6480" w:hanging="720"/>
      </w:pPr>
    </w:lvl>
  </w:abstractNum>
  <w:abstractNum w:abstractNumId="35" w15:restartNumberingAfterBreak="0">
    <w:nsid w:val="6DE24E62"/>
    <w:multiLevelType w:val="hybridMultilevel"/>
    <w:tmpl w:val="88C0CE08"/>
    <w:lvl w:ilvl="0" w:tplc="8B7E0B18">
      <w:start w:val="1"/>
      <w:numFmt w:val="decimal"/>
      <w:pStyle w:val="Titre6ALTEREA2018"/>
      <w:lvlText w:val="1.1.1.1.1.%1."/>
      <w:lvlJc w:val="left"/>
      <w:pPr>
        <w:ind w:left="720" w:hanging="360"/>
      </w:pPr>
      <w:rPr>
        <w:rFonts w:hint="default"/>
        <w:b w:val="0"/>
        <w:bCs w:val="0"/>
        <w:i w:val="0"/>
        <w:iCs w:val="0"/>
        <w:caps w:val="0"/>
        <w:smallCaps w:val="0"/>
        <w:strike w:val="0"/>
        <w:vanish w:val="0"/>
        <w:spacing w:val="0"/>
        <w:position w:val="0"/>
        <w:u w:val="none"/>
        <w:vertAlign w:val="baseline"/>
        <w14:textOutline w14:w="0" w14:cap="rnd" w14:cmpd="sng" w14:algn="ctr">
          <w14:noFill/>
          <w14:prstDash w14:val="solid"/>
          <w14:bevel/>
        </w14:textOutline>
      </w:rPr>
    </w:lvl>
    <w:lvl w:ilvl="1" w:tplc="E152BAEA">
      <w:start w:val="1"/>
      <w:numFmt w:val="lowerLetter"/>
      <w:lvlText w:val="%2."/>
      <w:lvlJc w:val="left"/>
      <w:pPr>
        <w:ind w:left="1440" w:hanging="360"/>
      </w:pPr>
    </w:lvl>
    <w:lvl w:ilvl="2" w:tplc="34AC1250">
      <w:start w:val="1"/>
      <w:numFmt w:val="lowerRoman"/>
      <w:lvlText w:val="%3."/>
      <w:lvlJc w:val="right"/>
      <w:pPr>
        <w:ind w:left="2160" w:hanging="180"/>
      </w:pPr>
    </w:lvl>
    <w:lvl w:ilvl="3" w:tplc="FCC26246">
      <w:start w:val="1"/>
      <w:numFmt w:val="decimal"/>
      <w:lvlText w:val="%4."/>
      <w:lvlJc w:val="left"/>
      <w:pPr>
        <w:ind w:left="2880" w:hanging="360"/>
      </w:pPr>
    </w:lvl>
    <w:lvl w:ilvl="4" w:tplc="79866F6E">
      <w:start w:val="1"/>
      <w:numFmt w:val="lowerLetter"/>
      <w:lvlText w:val="%5."/>
      <w:lvlJc w:val="left"/>
      <w:pPr>
        <w:ind w:left="3600" w:hanging="360"/>
      </w:pPr>
    </w:lvl>
    <w:lvl w:ilvl="5" w:tplc="4ECEC990">
      <w:start w:val="1"/>
      <w:numFmt w:val="lowerRoman"/>
      <w:lvlText w:val="%6."/>
      <w:lvlJc w:val="right"/>
      <w:pPr>
        <w:ind w:left="4320" w:hanging="180"/>
      </w:pPr>
    </w:lvl>
    <w:lvl w:ilvl="6" w:tplc="211203FE">
      <w:start w:val="1"/>
      <w:numFmt w:val="decimal"/>
      <w:lvlText w:val="%7."/>
      <w:lvlJc w:val="left"/>
      <w:pPr>
        <w:ind w:left="5040" w:hanging="360"/>
      </w:pPr>
    </w:lvl>
    <w:lvl w:ilvl="7" w:tplc="9CD072D8">
      <w:start w:val="1"/>
      <w:numFmt w:val="lowerLetter"/>
      <w:lvlText w:val="%8."/>
      <w:lvlJc w:val="left"/>
      <w:pPr>
        <w:ind w:left="5760" w:hanging="360"/>
      </w:pPr>
    </w:lvl>
    <w:lvl w:ilvl="8" w:tplc="4BA6A076">
      <w:start w:val="1"/>
      <w:numFmt w:val="lowerRoman"/>
      <w:lvlText w:val="%9."/>
      <w:lvlJc w:val="right"/>
      <w:pPr>
        <w:ind w:left="6480" w:hanging="180"/>
      </w:pPr>
    </w:lvl>
  </w:abstractNum>
  <w:abstractNum w:abstractNumId="36" w15:restartNumberingAfterBreak="0">
    <w:nsid w:val="6EEC21DF"/>
    <w:multiLevelType w:val="hybridMultilevel"/>
    <w:tmpl w:val="663471AA"/>
    <w:lvl w:ilvl="0" w:tplc="FFFFFFFF">
      <w:start w:val="1"/>
      <w:numFmt w:val="bullet"/>
      <w:lvlText w:val=""/>
      <w:lvlJc w:val="left"/>
      <w:pPr>
        <w:ind w:left="720" w:hanging="360"/>
      </w:pPr>
      <w:rPr>
        <w:rFonts w:ascii="Wingdings" w:hAnsi="Wingdings" w:hint="default"/>
        <w:color w:val="FFC000"/>
      </w:rPr>
    </w:lvl>
    <w:lvl w:ilvl="1" w:tplc="D37009FE">
      <w:start w:val="1"/>
      <w:numFmt w:val="bullet"/>
      <w:lvlText w:val="-"/>
      <w:lvlJc w:val="left"/>
      <w:pPr>
        <w:ind w:left="1440" w:hanging="360"/>
      </w:pPr>
      <w:rPr>
        <w:rFonts w:ascii="Arial" w:hAnsi="Arial" w:hint="default"/>
        <w:color w:val="F3C345" w:themeColor="accent1"/>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4694243"/>
    <w:multiLevelType w:val="hybridMultilevel"/>
    <w:tmpl w:val="66543F94"/>
    <w:lvl w:ilvl="0" w:tplc="CF1AA272">
      <w:start w:val="1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5F20B28"/>
    <w:multiLevelType w:val="hybridMultilevel"/>
    <w:tmpl w:val="61DC9FC2"/>
    <w:lvl w:ilvl="0" w:tplc="6F22CA1A">
      <w:start w:val="1"/>
      <w:numFmt w:val="decimal"/>
      <w:lvlText w:val="%1."/>
      <w:lvlJc w:val="left"/>
      <w:pPr>
        <w:tabs>
          <w:tab w:val="num" w:pos="720"/>
        </w:tabs>
        <w:ind w:left="720" w:hanging="720"/>
      </w:pPr>
    </w:lvl>
    <w:lvl w:ilvl="1" w:tplc="D12AF4D8">
      <w:start w:val="1"/>
      <w:numFmt w:val="bullet"/>
      <w:pStyle w:val="PuceBALTEREA"/>
      <w:lvlText w:val=""/>
      <w:lvlJc w:val="left"/>
      <w:pPr>
        <w:tabs>
          <w:tab w:val="num" w:pos="1440"/>
        </w:tabs>
        <w:ind w:left="1440" w:hanging="720"/>
      </w:pPr>
      <w:rPr>
        <w:rFonts w:ascii="Symbol" w:hAnsi="Symbol" w:hint="default"/>
        <w:color w:val="F3C345" w:themeColor="accent1"/>
      </w:rPr>
    </w:lvl>
    <w:lvl w:ilvl="2" w:tplc="BF8E4D76">
      <w:start w:val="1"/>
      <w:numFmt w:val="decimal"/>
      <w:lvlText w:val="%3."/>
      <w:lvlJc w:val="left"/>
      <w:pPr>
        <w:tabs>
          <w:tab w:val="num" w:pos="2160"/>
        </w:tabs>
        <w:ind w:left="2160" w:hanging="720"/>
      </w:pPr>
    </w:lvl>
    <w:lvl w:ilvl="3" w:tplc="114E20E2">
      <w:start w:val="1"/>
      <w:numFmt w:val="decimal"/>
      <w:lvlText w:val="%4."/>
      <w:lvlJc w:val="left"/>
      <w:pPr>
        <w:tabs>
          <w:tab w:val="num" w:pos="2880"/>
        </w:tabs>
        <w:ind w:left="2880" w:hanging="720"/>
      </w:pPr>
    </w:lvl>
    <w:lvl w:ilvl="4" w:tplc="C1405452">
      <w:start w:val="1"/>
      <w:numFmt w:val="decimal"/>
      <w:lvlText w:val="%5."/>
      <w:lvlJc w:val="left"/>
      <w:pPr>
        <w:tabs>
          <w:tab w:val="num" w:pos="3600"/>
        </w:tabs>
        <w:ind w:left="3600" w:hanging="720"/>
      </w:pPr>
    </w:lvl>
    <w:lvl w:ilvl="5" w:tplc="4C247764">
      <w:start w:val="1"/>
      <w:numFmt w:val="decimal"/>
      <w:lvlText w:val="%6."/>
      <w:lvlJc w:val="left"/>
      <w:pPr>
        <w:tabs>
          <w:tab w:val="num" w:pos="4320"/>
        </w:tabs>
        <w:ind w:left="4320" w:hanging="720"/>
      </w:pPr>
    </w:lvl>
    <w:lvl w:ilvl="6" w:tplc="BD1C539E">
      <w:start w:val="1"/>
      <w:numFmt w:val="decimal"/>
      <w:lvlText w:val="%7."/>
      <w:lvlJc w:val="left"/>
      <w:pPr>
        <w:tabs>
          <w:tab w:val="num" w:pos="5040"/>
        </w:tabs>
        <w:ind w:left="5040" w:hanging="720"/>
      </w:pPr>
    </w:lvl>
    <w:lvl w:ilvl="7" w:tplc="6FB27D6E">
      <w:start w:val="1"/>
      <w:numFmt w:val="decimal"/>
      <w:lvlText w:val="%8."/>
      <w:lvlJc w:val="left"/>
      <w:pPr>
        <w:tabs>
          <w:tab w:val="num" w:pos="5760"/>
        </w:tabs>
        <w:ind w:left="5760" w:hanging="720"/>
      </w:pPr>
    </w:lvl>
    <w:lvl w:ilvl="8" w:tplc="45E6EC3C">
      <w:start w:val="1"/>
      <w:numFmt w:val="decimal"/>
      <w:lvlText w:val="%9."/>
      <w:lvlJc w:val="left"/>
      <w:pPr>
        <w:tabs>
          <w:tab w:val="num" w:pos="6480"/>
        </w:tabs>
        <w:ind w:left="6480" w:hanging="720"/>
      </w:pPr>
    </w:lvl>
  </w:abstractNum>
  <w:abstractNum w:abstractNumId="39" w15:restartNumberingAfterBreak="0">
    <w:nsid w:val="7B3F778B"/>
    <w:multiLevelType w:val="hybridMultilevel"/>
    <w:tmpl w:val="E788EC16"/>
    <w:lvl w:ilvl="0" w:tplc="98C2CB34">
      <w:start w:val="1"/>
      <w:numFmt w:val="bullet"/>
      <w:pStyle w:val="Puce10"/>
      <w:lvlText w:val=""/>
      <w:lvlJc w:val="left"/>
      <w:pPr>
        <w:tabs>
          <w:tab w:val="num" w:pos="720"/>
        </w:tabs>
        <w:ind w:left="720" w:hanging="360"/>
      </w:pPr>
      <w:rPr>
        <w:rFonts w:ascii="Wingdings" w:hAnsi="Wingdings" w:hint="default"/>
      </w:rPr>
    </w:lvl>
    <w:lvl w:ilvl="1" w:tplc="46EAD186">
      <w:start w:val="1"/>
      <w:numFmt w:val="bullet"/>
      <w:lvlText w:val="o"/>
      <w:lvlJc w:val="left"/>
      <w:pPr>
        <w:tabs>
          <w:tab w:val="num" w:pos="1440"/>
        </w:tabs>
        <w:ind w:left="1440" w:hanging="360"/>
      </w:pPr>
      <w:rPr>
        <w:rFonts w:ascii="Courier New" w:hAnsi="Courier New" w:cs="Courier New" w:hint="default"/>
      </w:rPr>
    </w:lvl>
    <w:lvl w:ilvl="2" w:tplc="90BAD25E">
      <w:start w:val="1"/>
      <w:numFmt w:val="bullet"/>
      <w:lvlText w:val=""/>
      <w:lvlJc w:val="left"/>
      <w:pPr>
        <w:tabs>
          <w:tab w:val="num" w:pos="2160"/>
        </w:tabs>
        <w:ind w:left="2160" w:hanging="360"/>
      </w:pPr>
      <w:rPr>
        <w:rFonts w:ascii="Wingdings" w:hAnsi="Wingdings" w:hint="default"/>
      </w:rPr>
    </w:lvl>
    <w:lvl w:ilvl="3" w:tplc="0FEC0EBC">
      <w:start w:val="1"/>
      <w:numFmt w:val="bullet"/>
      <w:lvlText w:val=""/>
      <w:lvlJc w:val="left"/>
      <w:pPr>
        <w:tabs>
          <w:tab w:val="num" w:pos="2880"/>
        </w:tabs>
        <w:ind w:left="2880" w:hanging="360"/>
      </w:pPr>
      <w:rPr>
        <w:rFonts w:ascii="Symbol" w:hAnsi="Symbol" w:hint="default"/>
      </w:rPr>
    </w:lvl>
    <w:lvl w:ilvl="4" w:tplc="97C83D96">
      <w:start w:val="1"/>
      <w:numFmt w:val="bullet"/>
      <w:lvlText w:val="o"/>
      <w:lvlJc w:val="left"/>
      <w:pPr>
        <w:tabs>
          <w:tab w:val="num" w:pos="3600"/>
        </w:tabs>
        <w:ind w:left="3600" w:hanging="360"/>
      </w:pPr>
      <w:rPr>
        <w:rFonts w:ascii="Courier New" w:hAnsi="Courier New" w:cs="Courier New" w:hint="default"/>
      </w:rPr>
    </w:lvl>
    <w:lvl w:ilvl="5" w:tplc="FFD8D0F2">
      <w:start w:val="1"/>
      <w:numFmt w:val="bullet"/>
      <w:lvlText w:val=""/>
      <w:lvlJc w:val="left"/>
      <w:pPr>
        <w:tabs>
          <w:tab w:val="num" w:pos="4320"/>
        </w:tabs>
        <w:ind w:left="4320" w:hanging="360"/>
      </w:pPr>
      <w:rPr>
        <w:rFonts w:ascii="Wingdings" w:hAnsi="Wingdings" w:hint="default"/>
      </w:rPr>
    </w:lvl>
    <w:lvl w:ilvl="6" w:tplc="9536BACC">
      <w:start w:val="1"/>
      <w:numFmt w:val="bullet"/>
      <w:lvlText w:val=""/>
      <w:lvlJc w:val="left"/>
      <w:pPr>
        <w:tabs>
          <w:tab w:val="num" w:pos="5040"/>
        </w:tabs>
        <w:ind w:left="5040" w:hanging="360"/>
      </w:pPr>
      <w:rPr>
        <w:rFonts w:ascii="Symbol" w:hAnsi="Symbol" w:hint="default"/>
      </w:rPr>
    </w:lvl>
    <w:lvl w:ilvl="7" w:tplc="D466F5FA">
      <w:start w:val="1"/>
      <w:numFmt w:val="bullet"/>
      <w:lvlText w:val="o"/>
      <w:lvlJc w:val="left"/>
      <w:pPr>
        <w:tabs>
          <w:tab w:val="num" w:pos="5760"/>
        </w:tabs>
        <w:ind w:left="5760" w:hanging="360"/>
      </w:pPr>
      <w:rPr>
        <w:rFonts w:ascii="Courier New" w:hAnsi="Courier New" w:cs="Courier New" w:hint="default"/>
      </w:rPr>
    </w:lvl>
    <w:lvl w:ilvl="8" w:tplc="F7CE2610">
      <w:start w:val="1"/>
      <w:numFmt w:val="bullet"/>
      <w:lvlText w:val=""/>
      <w:lvlJc w:val="left"/>
      <w:pPr>
        <w:tabs>
          <w:tab w:val="num" w:pos="6480"/>
        </w:tabs>
        <w:ind w:left="6480" w:hanging="360"/>
      </w:pPr>
      <w:rPr>
        <w:rFonts w:ascii="Wingdings" w:hAnsi="Wingdings" w:hint="default"/>
      </w:rPr>
    </w:lvl>
  </w:abstractNum>
  <w:num w:numId="1" w16cid:durableId="1141847126">
    <w:abstractNumId w:val="18"/>
  </w:num>
  <w:num w:numId="2" w16cid:durableId="1459185920">
    <w:abstractNumId w:val="24"/>
  </w:num>
  <w:num w:numId="3" w16cid:durableId="533273841">
    <w:abstractNumId w:val="3"/>
  </w:num>
  <w:num w:numId="4" w16cid:durableId="305011220">
    <w:abstractNumId w:val="39"/>
  </w:num>
  <w:num w:numId="5" w16cid:durableId="620457079">
    <w:abstractNumId w:val="15"/>
  </w:num>
  <w:num w:numId="6" w16cid:durableId="1855534098">
    <w:abstractNumId w:val="29"/>
  </w:num>
  <w:num w:numId="7" w16cid:durableId="1008337922">
    <w:abstractNumId w:val="31"/>
  </w:num>
  <w:num w:numId="8" w16cid:durableId="554315086">
    <w:abstractNumId w:val="34"/>
  </w:num>
  <w:num w:numId="9" w16cid:durableId="353043851">
    <w:abstractNumId w:val="38"/>
  </w:num>
  <w:num w:numId="10" w16cid:durableId="1124152738">
    <w:abstractNumId w:val="27"/>
  </w:num>
  <w:num w:numId="11" w16cid:durableId="1804234346">
    <w:abstractNumId w:val="17"/>
  </w:num>
  <w:num w:numId="12" w16cid:durableId="905453660">
    <w:abstractNumId w:val="1"/>
  </w:num>
  <w:num w:numId="13" w16cid:durableId="35661259">
    <w:abstractNumId w:val="35"/>
  </w:num>
  <w:num w:numId="14" w16cid:durableId="620382627">
    <w:abstractNumId w:val="23"/>
  </w:num>
  <w:num w:numId="15" w16cid:durableId="849560962">
    <w:abstractNumId w:val="20"/>
  </w:num>
  <w:num w:numId="16" w16cid:durableId="1741755012">
    <w:abstractNumId w:val="9"/>
  </w:num>
  <w:num w:numId="17" w16cid:durableId="539518865">
    <w:abstractNumId w:val="13"/>
  </w:num>
  <w:num w:numId="18" w16cid:durableId="587616014">
    <w:abstractNumId w:val="12"/>
  </w:num>
  <w:num w:numId="19" w16cid:durableId="362749477">
    <w:abstractNumId w:val="33"/>
  </w:num>
  <w:num w:numId="20" w16cid:durableId="761493302">
    <w:abstractNumId w:val="11"/>
  </w:num>
  <w:num w:numId="21" w16cid:durableId="1005599058">
    <w:abstractNumId w:val="2"/>
  </w:num>
  <w:num w:numId="22" w16cid:durableId="888153561">
    <w:abstractNumId w:val="28"/>
  </w:num>
  <w:num w:numId="23" w16cid:durableId="1855804012">
    <w:abstractNumId w:val="30"/>
  </w:num>
  <w:num w:numId="24" w16cid:durableId="55292960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88182982">
    <w:abstractNumId w:val="37"/>
  </w:num>
  <w:num w:numId="26" w16cid:durableId="289820288">
    <w:abstractNumId w:val="19"/>
  </w:num>
  <w:num w:numId="27" w16cid:durableId="1430272342">
    <w:abstractNumId w:val="5"/>
  </w:num>
  <w:num w:numId="28" w16cid:durableId="2036731688">
    <w:abstractNumId w:val="8"/>
  </w:num>
  <w:num w:numId="29" w16cid:durableId="43330642">
    <w:abstractNumId w:val="4"/>
  </w:num>
  <w:num w:numId="30" w16cid:durableId="1800107059">
    <w:abstractNumId w:val="7"/>
  </w:num>
  <w:num w:numId="31" w16cid:durableId="1522933132">
    <w:abstractNumId w:val="22"/>
  </w:num>
  <w:num w:numId="32" w16cid:durableId="269168716">
    <w:abstractNumId w:val="6"/>
  </w:num>
  <w:num w:numId="33" w16cid:durableId="752552491">
    <w:abstractNumId w:val="26"/>
  </w:num>
  <w:num w:numId="34" w16cid:durableId="1192963255">
    <w:abstractNumId w:val="18"/>
  </w:num>
  <w:num w:numId="35" w16cid:durableId="1929537375">
    <w:abstractNumId w:val="32"/>
  </w:num>
  <w:num w:numId="36" w16cid:durableId="1121191906">
    <w:abstractNumId w:val="21"/>
  </w:num>
  <w:num w:numId="37" w16cid:durableId="745342339">
    <w:abstractNumId w:val="10"/>
  </w:num>
  <w:num w:numId="38" w16cid:durableId="8408953">
    <w:abstractNumId w:val="10"/>
  </w:num>
  <w:num w:numId="39" w16cid:durableId="1322276644">
    <w:abstractNumId w:val="10"/>
  </w:num>
  <w:num w:numId="40" w16cid:durableId="331224231">
    <w:abstractNumId w:val="25"/>
  </w:num>
  <w:num w:numId="41" w16cid:durableId="798842548">
    <w:abstractNumId w:val="16"/>
  </w:num>
  <w:num w:numId="42" w16cid:durableId="268245388">
    <w:abstractNumId w:val="14"/>
  </w:num>
  <w:num w:numId="43" w16cid:durableId="405765779">
    <w:abstractNumId w:val="36"/>
  </w:num>
  <w:num w:numId="44" w16cid:durableId="147760055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530"/>
    <w:rsid w:val="0005303C"/>
    <w:rsid w:val="00055A7C"/>
    <w:rsid w:val="00073F43"/>
    <w:rsid w:val="000B6BEF"/>
    <w:rsid w:val="00122F47"/>
    <w:rsid w:val="00137A70"/>
    <w:rsid w:val="00150876"/>
    <w:rsid w:val="001A3274"/>
    <w:rsid w:val="001B1E8E"/>
    <w:rsid w:val="00220165"/>
    <w:rsid w:val="0026244C"/>
    <w:rsid w:val="002918FD"/>
    <w:rsid w:val="002E16F5"/>
    <w:rsid w:val="002F6239"/>
    <w:rsid w:val="003137DA"/>
    <w:rsid w:val="00325AFB"/>
    <w:rsid w:val="00331E70"/>
    <w:rsid w:val="00387553"/>
    <w:rsid w:val="00442F60"/>
    <w:rsid w:val="00464E2F"/>
    <w:rsid w:val="0047358B"/>
    <w:rsid w:val="004B2DFD"/>
    <w:rsid w:val="00513BB2"/>
    <w:rsid w:val="005B0F2C"/>
    <w:rsid w:val="005E669F"/>
    <w:rsid w:val="005F6215"/>
    <w:rsid w:val="00601247"/>
    <w:rsid w:val="0060791E"/>
    <w:rsid w:val="00666805"/>
    <w:rsid w:val="006C7365"/>
    <w:rsid w:val="006D3BC4"/>
    <w:rsid w:val="006D75C2"/>
    <w:rsid w:val="00752E4C"/>
    <w:rsid w:val="00784652"/>
    <w:rsid w:val="0079450F"/>
    <w:rsid w:val="007A22B4"/>
    <w:rsid w:val="007E57EC"/>
    <w:rsid w:val="007F7541"/>
    <w:rsid w:val="0082376C"/>
    <w:rsid w:val="00824AFD"/>
    <w:rsid w:val="00836C5A"/>
    <w:rsid w:val="00852780"/>
    <w:rsid w:val="0094567D"/>
    <w:rsid w:val="00952B4F"/>
    <w:rsid w:val="009928D4"/>
    <w:rsid w:val="009D5530"/>
    <w:rsid w:val="00A15581"/>
    <w:rsid w:val="00A544E7"/>
    <w:rsid w:val="00A60C0F"/>
    <w:rsid w:val="00A63579"/>
    <w:rsid w:val="00A651A2"/>
    <w:rsid w:val="00B030EC"/>
    <w:rsid w:val="00B22CF0"/>
    <w:rsid w:val="00B57ED6"/>
    <w:rsid w:val="00B60814"/>
    <w:rsid w:val="00B721B8"/>
    <w:rsid w:val="00BC7A80"/>
    <w:rsid w:val="00BF1071"/>
    <w:rsid w:val="00C12AC9"/>
    <w:rsid w:val="00C254E4"/>
    <w:rsid w:val="00C30AB9"/>
    <w:rsid w:val="00C57179"/>
    <w:rsid w:val="00CA0FF7"/>
    <w:rsid w:val="00CA6D4C"/>
    <w:rsid w:val="00CB28E5"/>
    <w:rsid w:val="00CC22B1"/>
    <w:rsid w:val="00CD3CDA"/>
    <w:rsid w:val="00D0408F"/>
    <w:rsid w:val="00D23224"/>
    <w:rsid w:val="00D40A98"/>
    <w:rsid w:val="00D6531A"/>
    <w:rsid w:val="00DA2E33"/>
    <w:rsid w:val="00DC099E"/>
    <w:rsid w:val="00DF6A99"/>
    <w:rsid w:val="00E1678B"/>
    <w:rsid w:val="00E1705D"/>
    <w:rsid w:val="00E634E0"/>
    <w:rsid w:val="00E639A4"/>
    <w:rsid w:val="00E674C2"/>
    <w:rsid w:val="00F2761A"/>
    <w:rsid w:val="00F527A8"/>
    <w:rsid w:val="00F560F3"/>
    <w:rsid w:val="00F70BA9"/>
    <w:rsid w:val="00F80EB6"/>
    <w:rsid w:val="00F93A91"/>
    <w:rsid w:val="00FC27C5"/>
    <w:rsid w:val="00FC34AE"/>
    <w:rsid w:val="00FF62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90D4270"/>
  <w15:docId w15:val="{C5854DDE-4F16-498A-ABD0-1F6668BB1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pacing w:after="120" w:line="259" w:lineRule="auto"/>
      <w:jc w:val="both"/>
    </w:pPr>
    <w:rPr>
      <w:rFonts w:ascii="Arial" w:hAnsi="Arial"/>
      <w:color w:val="000000" w:themeColor="background1"/>
      <w:sz w:val="20"/>
      <w:lang w:eastAsia="fr-FR"/>
    </w:rPr>
  </w:style>
  <w:style w:type="paragraph" w:styleId="Titre1">
    <w:name w:val="heading 1"/>
    <w:basedOn w:val="Normal"/>
    <w:next w:val="Normal"/>
    <w:link w:val="Titre1Car"/>
    <w:uiPriority w:val="9"/>
    <w:pPr>
      <w:keepNext/>
      <w:keepLines/>
      <w:pageBreakBefore/>
      <w:spacing w:before="240"/>
      <w:ind w:left="431" w:hanging="431"/>
      <w:jc w:val="left"/>
      <w:outlineLvl w:val="0"/>
    </w:pPr>
    <w:rPr>
      <w:rFonts w:eastAsiaTheme="majorEastAsia" w:cstheme="majorBidi"/>
      <w:b/>
      <w:bCs/>
      <w:smallCaps/>
      <w:color w:val="F3C345" w:themeColor="accent1"/>
      <w:sz w:val="30"/>
      <w:szCs w:val="30"/>
    </w:rPr>
  </w:style>
  <w:style w:type="paragraph" w:styleId="Titre2">
    <w:name w:val="heading 2"/>
    <w:aliases w:val="H2,Sub-heading,paragraphe,Contrat 2,Ctt,Heading 2,Titre 21,t2.T2,l2,I2,Titre Parag,h2,MainSection,Reset numbering,Heading 2-14,T2,Niveau 2,Niveau2,chapitre 1.1,heading 2,appendix heading 2,Titre3,Heading 2 Hidden,nom d'opération,article,titre n2"/>
    <w:basedOn w:val="Normal"/>
    <w:next w:val="Normal"/>
    <w:link w:val="Titre2Car"/>
    <w:uiPriority w:val="9"/>
    <w:unhideWhenUsed/>
    <w:qFormat/>
    <w:rsid w:val="00D23224"/>
    <w:pPr>
      <w:keepNext/>
      <w:keepLines/>
      <w:numPr>
        <w:ilvl w:val="1"/>
        <w:numId w:val="1"/>
      </w:numPr>
      <w:spacing w:before="240" w:after="160" w:line="278" w:lineRule="auto"/>
      <w:ind w:left="576" w:hanging="576"/>
      <w:jc w:val="left"/>
      <w:outlineLvl w:val="1"/>
    </w:pPr>
    <w:rPr>
      <w:rFonts w:asciiTheme="minorHAnsi" w:eastAsiaTheme="majorEastAsia" w:hAnsiTheme="minorHAnsi" w:cstheme="majorBidi"/>
      <w:b/>
      <w:bCs/>
      <w:color w:val="605C5B" w:themeColor="text1"/>
      <w:kern w:val="2"/>
      <w:sz w:val="28"/>
      <w:szCs w:val="28"/>
      <w:lang w:eastAsia="en-US"/>
      <w14:ligatures w14:val="standardContextual"/>
    </w:rPr>
  </w:style>
  <w:style w:type="paragraph" w:styleId="Titre3">
    <w:name w:val="heading 3"/>
    <w:aliases w:val="Petits titres  AO,T3,titre n3,RC 1.1,retrait2,Ss titre 1,Ss titre 2,Titre 3 / 1.1.,Titre 3 (1.1.1.),TITRE 3 (1.1.1.),Titre 3 Annexes,retrait21,§1.1.1,§1.1.1.,InterTitre,CHAP3,Section1,Section2,Section11,Titre 3ceafi,Sect,Titre 3 section,faux"/>
    <w:basedOn w:val="Normal"/>
    <w:next w:val="Normal"/>
    <w:link w:val="Titre3Car"/>
    <w:uiPriority w:val="9"/>
    <w:unhideWhenUsed/>
    <w:qFormat/>
    <w:rsid w:val="00464E2F"/>
    <w:pPr>
      <w:keepNext/>
      <w:keepLines/>
      <w:numPr>
        <w:ilvl w:val="2"/>
        <w:numId w:val="1"/>
      </w:numPr>
      <w:spacing w:before="120" w:line="278" w:lineRule="auto"/>
      <w:ind w:left="680" w:hanging="680"/>
      <w:jc w:val="left"/>
      <w:outlineLvl w:val="2"/>
    </w:pPr>
    <w:rPr>
      <w:rFonts w:asciiTheme="minorHAnsi" w:eastAsiaTheme="majorEastAsia" w:hAnsiTheme="minorHAnsi" w:cstheme="majorBidi"/>
      <w:b/>
      <w:bCs/>
      <w:color w:val="605C5B" w:themeColor="text1"/>
      <w:kern w:val="2"/>
      <w:sz w:val="24"/>
      <w:szCs w:val="24"/>
      <w:lang w:eastAsia="en-US"/>
      <w14:ligatures w14:val="standardContextual"/>
    </w:rPr>
  </w:style>
  <w:style w:type="paragraph" w:styleId="Titre4">
    <w:name w:val="heading 4"/>
    <w:aliases w:val="chapitre 1.1.1.1,Contrat 4,appendix heading 4,3rd Level Head,PAR4,Sous-Section,altv,Lib sous article,Titre 4-automatique,Titre 5 : Détail Phase,Level 2 - a,T4,_TITRE 4,CHAP4,M-Titre 4,I.1.1.1.,4,Titre 4 Car Car,Titre 4 m,§1.1.1.1,§1.1.1.1."/>
    <w:basedOn w:val="Normal"/>
    <w:next w:val="Normal"/>
    <w:link w:val="Titre4Car"/>
    <w:uiPriority w:val="9"/>
    <w:unhideWhenUsed/>
    <w:qFormat/>
    <w:pPr>
      <w:keepNext/>
      <w:keepLines/>
      <w:spacing w:before="240"/>
      <w:ind w:left="862" w:hanging="862"/>
      <w:outlineLvl w:val="3"/>
    </w:pPr>
    <w:rPr>
      <w:rFonts w:eastAsiaTheme="majorEastAsia" w:cstheme="majorBidi"/>
      <w:bCs/>
      <w:iCs/>
      <w:color w:val="605C5B" w:themeColor="text1"/>
      <w:sz w:val="22"/>
    </w:rPr>
  </w:style>
  <w:style w:type="paragraph" w:styleId="Titre50">
    <w:name w:val="heading 5"/>
    <w:basedOn w:val="Titre4"/>
    <w:next w:val="Normal"/>
    <w:link w:val="Titre5Car"/>
    <w:uiPriority w:val="1"/>
    <w:unhideWhenUsed/>
    <w:qFormat/>
    <w:pPr>
      <w:outlineLvl w:val="4"/>
    </w:pPr>
    <w:rPr>
      <w:i/>
      <w:sz w:val="20"/>
      <w:szCs w:val="20"/>
    </w:rPr>
  </w:style>
  <w:style w:type="paragraph" w:styleId="Titre6">
    <w:name w:val="heading 6"/>
    <w:basedOn w:val="Normal"/>
    <w:next w:val="Normal"/>
    <w:link w:val="Titre6Car"/>
    <w:uiPriority w:val="9"/>
    <w:unhideWhenUsed/>
    <w:pPr>
      <w:keepNext/>
      <w:keepLines/>
      <w:spacing w:before="240"/>
      <w:ind w:left="1151" w:hanging="1151"/>
      <w:outlineLvl w:val="5"/>
    </w:pPr>
    <w:rPr>
      <w:rFonts w:eastAsiaTheme="majorEastAsia" w:cstheme="majorBidi"/>
      <w:i/>
      <w:iCs/>
      <w:color w:val="605C5B" w:themeColor="text1"/>
      <w:u w:val="single"/>
    </w:rPr>
  </w:style>
  <w:style w:type="paragraph" w:styleId="Titre7">
    <w:name w:val="heading 7"/>
    <w:basedOn w:val="Normal"/>
    <w:next w:val="Normal"/>
    <w:link w:val="Titre7Car"/>
    <w:uiPriority w:val="9"/>
    <w:unhideWhenUsed/>
    <w:pPr>
      <w:keepNext/>
      <w:keepLines/>
      <w:spacing w:before="200"/>
      <w:outlineLvl w:val="6"/>
    </w:pPr>
    <w:rPr>
      <w:rFonts w:asciiTheme="majorHAnsi" w:eastAsiaTheme="majorEastAsia" w:hAnsiTheme="majorHAnsi" w:cstheme="majorBidi"/>
      <w:i/>
      <w:iCs/>
      <w:color w:val="898482" w:themeColor="text1" w:themeTint="BF"/>
    </w:rPr>
  </w:style>
  <w:style w:type="paragraph" w:styleId="Titre8">
    <w:name w:val="heading 8"/>
    <w:basedOn w:val="Normal"/>
    <w:next w:val="Normal"/>
    <w:link w:val="Titre8Car"/>
    <w:uiPriority w:val="9"/>
    <w:unhideWhenUsed/>
    <w:pPr>
      <w:keepNext/>
      <w:keepLines/>
      <w:spacing w:before="200"/>
      <w:outlineLvl w:val="7"/>
    </w:pPr>
    <w:rPr>
      <w:rFonts w:asciiTheme="majorHAnsi" w:eastAsiaTheme="majorEastAsia" w:hAnsiTheme="majorHAnsi" w:cstheme="majorBidi"/>
      <w:color w:val="898482" w:themeColor="text1" w:themeTint="BF"/>
      <w:szCs w:val="20"/>
    </w:rPr>
  </w:style>
  <w:style w:type="paragraph" w:styleId="Titre9">
    <w:name w:val="heading 9"/>
    <w:basedOn w:val="Normal"/>
    <w:next w:val="Normal"/>
    <w:link w:val="Titre9Car"/>
    <w:uiPriority w:val="9"/>
    <w:unhideWhenUsed/>
    <w:pPr>
      <w:keepNext/>
      <w:keepLines/>
      <w:spacing w:before="40"/>
      <w:ind w:left="1584" w:hanging="1584"/>
      <w:outlineLvl w:val="8"/>
    </w:pPr>
    <w:rPr>
      <w:rFonts w:asciiTheme="majorHAnsi" w:eastAsiaTheme="majorEastAsia" w:hAnsiTheme="majorHAnsi" w:cstheme="majorBidi"/>
      <w:i/>
      <w:iCs/>
      <w:color w:val="797473"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Heading3Char">
    <w:name w:val="Heading 3 Char"/>
    <w:basedOn w:val="Policepardfaut"/>
    <w:uiPriority w:val="9"/>
    <w:rPr>
      <w:rFonts w:ascii="Arial" w:eastAsia="Arial" w:hAnsi="Arial" w:cs="Arial"/>
      <w:sz w:val="30"/>
      <w:szCs w:val="30"/>
    </w:rPr>
  </w:style>
  <w:style w:type="character" w:customStyle="1" w:styleId="Heading4Char">
    <w:name w:val="Heading 4 Char"/>
    <w:basedOn w:val="Policepardfaut"/>
    <w:uiPriority w:val="9"/>
    <w:rPr>
      <w:rFonts w:ascii="Arial" w:eastAsia="Arial" w:hAnsi="Arial" w:cs="Arial"/>
      <w:b/>
      <w:bCs/>
      <w:sz w:val="26"/>
      <w:szCs w:val="26"/>
    </w:rPr>
  </w:style>
  <w:style w:type="character" w:customStyle="1" w:styleId="Heading5Char">
    <w:name w:val="Heading 5 Char"/>
    <w:basedOn w:val="Policepardfaut"/>
    <w:uiPriority w:val="9"/>
    <w:rPr>
      <w:rFonts w:ascii="Arial" w:eastAsia="Arial" w:hAnsi="Arial" w:cs="Arial"/>
      <w:b/>
      <w:bCs/>
      <w:sz w:val="24"/>
      <w:szCs w:val="24"/>
    </w:rPr>
  </w:style>
  <w:style w:type="character" w:customStyle="1" w:styleId="Heading6Char">
    <w:name w:val="Heading 6 Char"/>
    <w:basedOn w:val="Policepardfaut"/>
    <w:uiPriority w:val="9"/>
    <w:rPr>
      <w:rFonts w:ascii="Arial" w:eastAsia="Arial" w:hAnsi="Arial" w:cs="Arial"/>
      <w:b/>
      <w:bCs/>
      <w:sz w:val="22"/>
      <w:szCs w:val="22"/>
    </w:rPr>
  </w:style>
  <w:style w:type="character" w:customStyle="1" w:styleId="Heading7Char">
    <w:name w:val="Heading 7 Char"/>
    <w:basedOn w:val="Policepardfaut"/>
    <w:uiPriority w:val="9"/>
    <w:rPr>
      <w:rFonts w:ascii="Arial" w:eastAsia="Arial" w:hAnsi="Arial" w:cs="Arial"/>
      <w:b/>
      <w:bCs/>
      <w:i/>
      <w:iCs/>
      <w:sz w:val="22"/>
      <w:szCs w:val="22"/>
    </w:rPr>
  </w:style>
  <w:style w:type="character" w:customStyle="1" w:styleId="Heading8Char">
    <w:name w:val="Heading 8 Char"/>
    <w:basedOn w:val="Policepardfaut"/>
    <w:uiPriority w:val="9"/>
    <w:rPr>
      <w:rFonts w:ascii="Arial" w:eastAsia="Arial" w:hAnsi="Arial" w:cs="Arial"/>
      <w:i/>
      <w:iCs/>
      <w:sz w:val="22"/>
      <w:szCs w:val="22"/>
    </w:rPr>
  </w:style>
  <w:style w:type="character" w:customStyle="1" w:styleId="Heading9Char">
    <w:name w:val="Heading 9 Char"/>
    <w:basedOn w:val="Policepardfaut"/>
    <w:uiPriority w:val="9"/>
    <w:rPr>
      <w:rFonts w:ascii="Arial" w:eastAsia="Arial" w:hAnsi="Arial" w:cs="Arial"/>
      <w:i/>
      <w:iCs/>
      <w:sz w:val="21"/>
      <w:szCs w:val="21"/>
    </w:rPr>
  </w:style>
  <w:style w:type="character" w:customStyle="1" w:styleId="TitleChar">
    <w:name w:val="Title Char"/>
    <w:basedOn w:val="Policepardfaut"/>
    <w:uiPriority w:val="10"/>
    <w:rPr>
      <w:sz w:val="48"/>
      <w:szCs w:val="48"/>
    </w:rPr>
  </w:style>
  <w:style w:type="character" w:customStyle="1" w:styleId="SubtitleChar">
    <w:name w:val="Subtitle Char"/>
    <w:basedOn w:val="Policepardfau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character" w:customStyle="1" w:styleId="CaptionChar">
    <w:name w:val="Caption Char"/>
    <w:uiPriority w:val="99"/>
  </w:style>
  <w:style w:type="table" w:customStyle="1" w:styleId="TableGridLight">
    <w:name w:val="Table Grid Light"/>
    <w:basedOn w:val="TableauNormal"/>
    <w:uiPriority w:val="59"/>
    <w:pPr>
      <w:spacing w:after="0" w:line="240" w:lineRule="auto"/>
    </w:pPr>
    <w:tblPr>
      <w:tblBorders>
        <w:top w:val="single" w:sz="4" w:space="0" w:color="CDCBCB" w:themeColor="text1" w:themeTint="50"/>
        <w:left w:val="single" w:sz="4" w:space="0" w:color="CDCBCB" w:themeColor="text1" w:themeTint="50"/>
        <w:bottom w:val="single" w:sz="4" w:space="0" w:color="CDCBCB" w:themeColor="text1" w:themeTint="50"/>
        <w:right w:val="single" w:sz="4" w:space="0" w:color="CDCBCB" w:themeColor="text1" w:themeTint="50"/>
        <w:insideH w:val="single" w:sz="4" w:space="0" w:color="CDCBCB" w:themeColor="text1" w:themeTint="50"/>
        <w:insideV w:val="single" w:sz="4" w:space="0" w:color="CDCBCB" w:themeColor="text1" w:themeTint="50"/>
      </w:tblBorders>
    </w:tblPr>
  </w:style>
  <w:style w:type="table" w:styleId="Tableausimple1">
    <w:name w:val="Plain Table 1"/>
    <w:basedOn w:val="TableauNormal"/>
    <w:uiPriority w:val="59"/>
    <w:pPr>
      <w:spacing w:after="0" w:line="240" w:lineRule="auto"/>
    </w:pPr>
    <w:tblPr>
      <w:tblBorders>
        <w:top w:val="single" w:sz="4" w:space="0" w:color="CDCBCB" w:themeColor="text1" w:themeTint="50"/>
        <w:left w:val="single" w:sz="4" w:space="0" w:color="CDCBCB" w:themeColor="text1" w:themeTint="50"/>
        <w:bottom w:val="single" w:sz="4" w:space="0" w:color="CDCBCB" w:themeColor="text1" w:themeTint="50"/>
        <w:right w:val="single" w:sz="4" w:space="0" w:color="CDCBCB" w:themeColor="text1" w:themeTint="50"/>
        <w:insideH w:val="single" w:sz="4" w:space="0" w:color="CDCBCB" w:themeColor="text1" w:themeTint="50"/>
        <w:insideV w:val="single" w:sz="4" w:space="0" w:color="CDCBCB"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7F6F6" w:themeColor="text1" w:themeTint="0D" w:fill="F7F6F6" w:themeFill="text1" w:themeFillTint="0D"/>
      </w:tcPr>
    </w:tblStylePr>
    <w:tblStylePr w:type="band1Horz">
      <w:tblPr/>
      <w:tcPr>
        <w:shd w:val="clear" w:color="F7F6F6" w:themeColor="text1" w:themeTint="0D" w:fill="F7F6F6" w:themeFill="text1" w:themeFillTint="0D"/>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7F6F6" w:themeColor="text1" w:themeTint="0D" w:fill="F7F6F6" w:themeFill="text1" w:themeFillTint="0D"/>
      </w:tcPr>
    </w:tblStylePr>
    <w:tblStylePr w:type="band1Horz">
      <w:rPr>
        <w:rFonts w:ascii="Arial" w:hAnsi="Arial"/>
        <w:color w:val="404040"/>
        <w:sz w:val="22"/>
      </w:rPr>
      <w:tblPr/>
      <w:tcPr>
        <w:shd w:val="clear" w:color="F7F6F6" w:themeColor="text1" w:themeTint="0D" w:fill="F7F6F6"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7F6F6" w:themeColor="text1" w:themeTint="0D" w:fill="F7F6F6" w:themeFill="text1" w:themeFillTint="0D"/>
      </w:tcPr>
    </w:tblStylePr>
    <w:tblStylePr w:type="band1Horz">
      <w:rPr>
        <w:rFonts w:ascii="Arial" w:hAnsi="Arial"/>
        <w:color w:val="404040"/>
        <w:sz w:val="22"/>
      </w:rPr>
      <w:tblPr/>
      <w:tcPr>
        <w:shd w:val="clear" w:color="F7F6F6" w:themeColor="text1" w:themeTint="0D" w:fill="F7F6F6"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7F6F6" w:themeColor="text1" w:themeTint="0D" w:fill="F7F6F6" w:themeFill="text1" w:themeFillTint="0D"/>
      </w:tcPr>
    </w:tblStylePr>
    <w:tblStylePr w:type="band1Horz">
      <w:rPr>
        <w:rFonts w:ascii="Arial" w:hAnsi="Arial"/>
        <w:color w:val="404040"/>
        <w:sz w:val="22"/>
      </w:rPr>
      <w:tblPr/>
      <w:tcPr>
        <w:shd w:val="clear" w:color="F7F6F6" w:themeColor="text1" w:themeTint="0D" w:fill="F7F6F6"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BFBCBB" w:themeColor="text1" w:themeTint="67"/>
        <w:left w:val="single" w:sz="4" w:space="0" w:color="BFBCBB" w:themeColor="text1" w:themeTint="67"/>
        <w:bottom w:val="single" w:sz="4" w:space="0" w:color="BFBCBB" w:themeColor="text1" w:themeTint="67"/>
        <w:right w:val="single" w:sz="4" w:space="0" w:color="BFBCBB" w:themeColor="text1" w:themeTint="67"/>
        <w:insideH w:val="single" w:sz="4" w:space="0" w:color="BFBCBB" w:themeColor="text1" w:themeTint="67"/>
        <w:insideV w:val="single" w:sz="4" w:space="0" w:color="BFBCBB" w:themeColor="text1" w:themeTint="67"/>
      </w:tblBorders>
    </w:tblPr>
    <w:tblStylePr w:type="firstRow">
      <w:rPr>
        <w:b/>
        <w:color w:val="404040"/>
      </w:rPr>
      <w:tblPr/>
      <w:tcPr>
        <w:tcBorders>
          <w:bottom w:val="single" w:sz="12" w:space="0" w:color="A39F9E"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FBCBB" w:themeColor="text1" w:themeTint="67"/>
          <w:left w:val="single" w:sz="4" w:space="0" w:color="BFBCBB" w:themeColor="text1" w:themeTint="67"/>
          <w:bottom w:val="single" w:sz="4" w:space="0" w:color="BFBCBB" w:themeColor="text1" w:themeTint="67"/>
          <w:right w:val="single" w:sz="4" w:space="0" w:color="BFBCBB"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FAE6B3" w:themeColor="accent1" w:themeTint="67"/>
        <w:left w:val="single" w:sz="4" w:space="0" w:color="FAE6B3" w:themeColor="accent1" w:themeTint="67"/>
        <w:bottom w:val="single" w:sz="4" w:space="0" w:color="FAE6B3" w:themeColor="accent1" w:themeTint="67"/>
        <w:right w:val="single" w:sz="4" w:space="0" w:color="FAE6B3" w:themeColor="accent1" w:themeTint="67"/>
        <w:insideH w:val="single" w:sz="4" w:space="0" w:color="FAE6B3" w:themeColor="accent1" w:themeTint="67"/>
        <w:insideV w:val="single" w:sz="4" w:space="0" w:color="FAE6B3" w:themeColor="accent1" w:themeTint="67"/>
      </w:tblBorders>
    </w:tblPr>
    <w:tblStylePr w:type="firstRow">
      <w:rPr>
        <w:b/>
        <w:color w:val="404040"/>
      </w:rPr>
      <w:tblPr/>
      <w:tcPr>
        <w:tcBorders>
          <w:bottom w:val="single" w:sz="12" w:space="0" w:color="F8DB92"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AE6B3" w:themeColor="accent1" w:themeTint="67"/>
          <w:left w:val="single" w:sz="4" w:space="0" w:color="FAE6B3" w:themeColor="accent1" w:themeTint="67"/>
          <w:bottom w:val="single" w:sz="4" w:space="0" w:color="FAE6B3" w:themeColor="accent1" w:themeTint="67"/>
          <w:right w:val="single" w:sz="4" w:space="0" w:color="FAE6B3"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BEDCD" w:themeColor="accent2" w:themeTint="67"/>
        <w:left w:val="single" w:sz="4" w:space="0" w:color="FBEDCD" w:themeColor="accent2" w:themeTint="67"/>
        <w:bottom w:val="single" w:sz="4" w:space="0" w:color="FBEDCD" w:themeColor="accent2" w:themeTint="67"/>
        <w:right w:val="single" w:sz="4" w:space="0" w:color="FBEDCD" w:themeColor="accent2" w:themeTint="67"/>
        <w:insideH w:val="single" w:sz="4" w:space="0" w:color="FBEDCD" w:themeColor="accent2" w:themeTint="67"/>
        <w:insideV w:val="single" w:sz="4" w:space="0" w:color="FBEDCD" w:themeColor="accent2" w:themeTint="67"/>
      </w:tblBorders>
    </w:tblPr>
    <w:tblStylePr w:type="firstRow">
      <w:rPr>
        <w:b/>
        <w:color w:val="404040"/>
      </w:rPr>
      <w:tblPr/>
      <w:tcPr>
        <w:tcBorders>
          <w:bottom w:val="single" w:sz="12" w:space="0" w:color="FAE6B8"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EDCD" w:themeColor="accent2" w:themeTint="67"/>
          <w:left w:val="single" w:sz="4" w:space="0" w:color="FBEDCD" w:themeColor="accent2" w:themeTint="67"/>
          <w:bottom w:val="single" w:sz="4" w:space="0" w:color="FBEDCD" w:themeColor="accent2" w:themeTint="67"/>
          <w:right w:val="single" w:sz="4" w:space="0" w:color="FBEDCD"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FFF8EE" w:themeColor="accent3" w:themeTint="67"/>
        <w:left w:val="single" w:sz="4" w:space="0" w:color="FFF8EE" w:themeColor="accent3" w:themeTint="67"/>
        <w:bottom w:val="single" w:sz="4" w:space="0" w:color="FFF8EE" w:themeColor="accent3" w:themeTint="67"/>
        <w:right w:val="single" w:sz="4" w:space="0" w:color="FFF8EE" w:themeColor="accent3" w:themeTint="67"/>
        <w:insideH w:val="single" w:sz="4" w:space="0" w:color="FFF8EE" w:themeColor="accent3" w:themeTint="67"/>
        <w:insideV w:val="single" w:sz="4" w:space="0" w:color="FFF8EE" w:themeColor="accent3" w:themeTint="67"/>
      </w:tblBorders>
    </w:tblPr>
    <w:tblStylePr w:type="firstRow">
      <w:rPr>
        <w:b/>
        <w:color w:val="404040"/>
      </w:rPr>
      <w:tblPr/>
      <w:tcPr>
        <w:tcBorders>
          <w:bottom w:val="single" w:sz="12" w:space="0" w:color="FFF6E6"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8EE" w:themeColor="accent3" w:themeTint="67"/>
          <w:left w:val="single" w:sz="4" w:space="0" w:color="FFF8EE" w:themeColor="accent3" w:themeTint="67"/>
          <w:bottom w:val="single" w:sz="4" w:space="0" w:color="FFF8EE" w:themeColor="accent3" w:themeTint="67"/>
          <w:right w:val="single" w:sz="4" w:space="0" w:color="FFF8EE"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B6E497" w:themeColor="accent4" w:themeTint="67"/>
        <w:left w:val="single" w:sz="4" w:space="0" w:color="B6E497" w:themeColor="accent4" w:themeTint="67"/>
        <w:bottom w:val="single" w:sz="4" w:space="0" w:color="B6E497" w:themeColor="accent4" w:themeTint="67"/>
        <w:right w:val="single" w:sz="4" w:space="0" w:color="B6E497" w:themeColor="accent4" w:themeTint="67"/>
        <w:insideH w:val="single" w:sz="4" w:space="0" w:color="B6E497" w:themeColor="accent4" w:themeTint="67"/>
        <w:insideV w:val="single" w:sz="4" w:space="0" w:color="B6E497" w:themeColor="accent4" w:themeTint="67"/>
      </w:tblBorders>
    </w:tblPr>
    <w:tblStylePr w:type="firstRow">
      <w:rPr>
        <w:b/>
        <w:color w:val="404040"/>
      </w:rPr>
      <w:tblPr/>
      <w:tcPr>
        <w:tcBorders>
          <w:bottom w:val="single" w:sz="12" w:space="0" w:color="96D96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E497" w:themeColor="accent4" w:themeTint="67"/>
          <w:left w:val="single" w:sz="4" w:space="0" w:color="B6E497" w:themeColor="accent4" w:themeTint="67"/>
          <w:bottom w:val="single" w:sz="4" w:space="0" w:color="B6E497" w:themeColor="accent4" w:themeTint="67"/>
          <w:right w:val="single" w:sz="4" w:space="0" w:color="B6E497"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D1DFC0" w:themeColor="accent5" w:themeTint="67"/>
        <w:left w:val="single" w:sz="4" w:space="0" w:color="D1DFC0" w:themeColor="accent5" w:themeTint="67"/>
        <w:bottom w:val="single" w:sz="4" w:space="0" w:color="D1DFC0" w:themeColor="accent5" w:themeTint="67"/>
        <w:right w:val="single" w:sz="4" w:space="0" w:color="D1DFC0" w:themeColor="accent5" w:themeTint="67"/>
        <w:insideH w:val="single" w:sz="4" w:space="0" w:color="D1DFC0" w:themeColor="accent5" w:themeTint="67"/>
        <w:insideV w:val="single" w:sz="4" w:space="0" w:color="D1DFC0" w:themeColor="accent5" w:themeTint="67"/>
      </w:tblBorders>
    </w:tblPr>
    <w:tblStylePr w:type="firstRow">
      <w:rPr>
        <w:b/>
        <w:color w:val="404040"/>
      </w:rPr>
      <w:tblPr/>
      <w:tcPr>
        <w:tcBorders>
          <w:bottom w:val="single" w:sz="12" w:space="0" w:color="BDD2A4"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1DFC0" w:themeColor="accent5" w:themeTint="67"/>
          <w:left w:val="single" w:sz="4" w:space="0" w:color="D1DFC0" w:themeColor="accent5" w:themeTint="67"/>
          <w:bottom w:val="single" w:sz="4" w:space="0" w:color="D1DFC0" w:themeColor="accent5" w:themeTint="67"/>
          <w:right w:val="single" w:sz="4" w:space="0" w:color="D1DFC0"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ECF1E4" w:themeColor="accent6" w:themeTint="67"/>
        <w:left w:val="single" w:sz="4" w:space="0" w:color="ECF1E4" w:themeColor="accent6" w:themeTint="67"/>
        <w:bottom w:val="single" w:sz="4" w:space="0" w:color="ECF1E4" w:themeColor="accent6" w:themeTint="67"/>
        <w:right w:val="single" w:sz="4" w:space="0" w:color="ECF1E4" w:themeColor="accent6" w:themeTint="67"/>
        <w:insideH w:val="single" w:sz="4" w:space="0" w:color="ECF1E4" w:themeColor="accent6" w:themeTint="67"/>
        <w:insideV w:val="single" w:sz="4" w:space="0" w:color="ECF1E4" w:themeColor="accent6" w:themeTint="67"/>
      </w:tblBorders>
    </w:tblPr>
    <w:tblStylePr w:type="firstRow">
      <w:rPr>
        <w:b/>
        <w:color w:val="404040"/>
      </w:rPr>
      <w:tblPr/>
      <w:tcPr>
        <w:tcBorders>
          <w:bottom w:val="single" w:sz="12" w:space="0" w:color="E4EBD8"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CF1E4" w:themeColor="accent6" w:themeTint="67"/>
          <w:left w:val="single" w:sz="4" w:space="0" w:color="ECF1E4" w:themeColor="accent6" w:themeTint="67"/>
          <w:bottom w:val="single" w:sz="4" w:space="0" w:color="ECF1E4" w:themeColor="accent6" w:themeTint="67"/>
          <w:right w:val="single" w:sz="4" w:space="0" w:color="ECF1E4"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A39F9E" w:themeColor="text1" w:themeTint="95"/>
        <w:insideH w:val="single" w:sz="4" w:space="0" w:color="A39F9E" w:themeColor="text1" w:themeTint="95"/>
        <w:insideV w:val="single" w:sz="4" w:space="0" w:color="A39F9E" w:themeColor="text1" w:themeTint="95"/>
      </w:tblBorders>
    </w:tblPr>
    <w:tblStylePr w:type="firstRow">
      <w:rPr>
        <w:b/>
        <w:color w:val="404040"/>
      </w:rPr>
      <w:tblPr/>
      <w:tcPr>
        <w:tcBorders>
          <w:top w:val="none" w:sz="4" w:space="0" w:color="000000"/>
          <w:left w:val="none" w:sz="4" w:space="0" w:color="000000"/>
          <w:bottom w:val="single" w:sz="12" w:space="0" w:color="A39F9E" w:themeColor="text1" w:themeTint="95"/>
          <w:right w:val="none" w:sz="4" w:space="0" w:color="000000"/>
        </w:tcBorders>
        <w:shd w:val="clear" w:color="FFFFFF" w:fill="auto"/>
      </w:tcPr>
    </w:tblStylePr>
    <w:tblStylePr w:type="lastRow">
      <w:rPr>
        <w:b/>
        <w:color w:val="404040"/>
      </w:rPr>
      <w:tblPr/>
      <w:tcPr>
        <w:tcBorders>
          <w:top w:val="single" w:sz="4" w:space="0" w:color="A39F9E"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DDD" w:themeColor="text1" w:themeTint="34" w:fill="DFDDDD" w:themeFill="text1" w:themeFillTint="34"/>
      </w:tcPr>
    </w:tblStylePr>
    <w:tblStylePr w:type="band1Horz">
      <w:rPr>
        <w:rFonts w:ascii="Arial" w:hAnsi="Arial"/>
        <w:color w:val="404040"/>
        <w:sz w:val="22"/>
      </w:rPr>
      <w:tblPr/>
      <w:tcPr>
        <w:shd w:val="clear" w:color="DFDDDD" w:themeColor="text1" w:themeTint="34" w:fill="DFDDDD"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F4C754" w:themeColor="accent1" w:themeTint="EA"/>
        <w:insideH w:val="single" w:sz="4" w:space="0" w:color="F4C754" w:themeColor="accent1" w:themeTint="EA"/>
        <w:insideV w:val="single" w:sz="4" w:space="0" w:color="F4C754" w:themeColor="accent1" w:themeTint="EA"/>
      </w:tblBorders>
    </w:tblPr>
    <w:tblStylePr w:type="firstRow">
      <w:rPr>
        <w:b/>
        <w:color w:val="404040"/>
      </w:rPr>
      <w:tblPr/>
      <w:tcPr>
        <w:tcBorders>
          <w:top w:val="none" w:sz="4" w:space="0" w:color="000000"/>
          <w:left w:val="none" w:sz="4" w:space="0" w:color="000000"/>
          <w:bottom w:val="single" w:sz="12" w:space="0" w:color="F4C754" w:themeColor="accent1" w:themeTint="EA"/>
          <w:right w:val="none" w:sz="4" w:space="0" w:color="000000"/>
        </w:tcBorders>
        <w:shd w:val="clear" w:color="FFFFFF" w:fill="auto"/>
      </w:tcPr>
    </w:tblStylePr>
    <w:tblStylePr w:type="lastRow">
      <w:rPr>
        <w:b/>
        <w:color w:val="404040"/>
      </w:rPr>
      <w:tblPr/>
      <w:tcPr>
        <w:tcBorders>
          <w:top w:val="single" w:sz="4" w:space="0" w:color="F4C754"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CF2D8" w:themeColor="accent1" w:themeTint="34" w:fill="FCF2D8" w:themeFill="accent1" w:themeFillTint="34"/>
      </w:tcPr>
    </w:tblStylePr>
    <w:tblStylePr w:type="band1Horz">
      <w:rPr>
        <w:rFonts w:ascii="Arial" w:hAnsi="Arial"/>
        <w:color w:val="404040"/>
        <w:sz w:val="22"/>
      </w:rPr>
      <w:tblPr/>
      <w:tcPr>
        <w:shd w:val="clear" w:color="FCF2D8" w:themeColor="accent1" w:themeTint="34" w:fill="FCF2D8"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AE6B7" w:themeColor="accent2" w:themeTint="97"/>
        <w:insideH w:val="single" w:sz="4" w:space="0" w:color="FAE6B7" w:themeColor="accent2" w:themeTint="97"/>
        <w:insideV w:val="single" w:sz="4" w:space="0" w:color="FAE6B7" w:themeColor="accent2" w:themeTint="97"/>
      </w:tblBorders>
    </w:tblPr>
    <w:tblStylePr w:type="firstRow">
      <w:rPr>
        <w:b/>
        <w:color w:val="404040"/>
      </w:rPr>
      <w:tblPr/>
      <w:tcPr>
        <w:tcBorders>
          <w:top w:val="none" w:sz="4" w:space="0" w:color="000000"/>
          <w:left w:val="none" w:sz="4" w:space="0" w:color="000000"/>
          <w:bottom w:val="single" w:sz="12" w:space="0" w:color="FAE6B7" w:themeColor="accent2" w:themeTint="97"/>
          <w:right w:val="none" w:sz="4" w:space="0" w:color="000000"/>
        </w:tcBorders>
        <w:shd w:val="clear" w:color="FFFFFF" w:fill="auto"/>
      </w:tcPr>
    </w:tblStylePr>
    <w:tblStylePr w:type="lastRow">
      <w:rPr>
        <w:b/>
        <w:color w:val="404040"/>
      </w:rPr>
      <w:tblPr/>
      <w:tcPr>
        <w:tcBorders>
          <w:top w:val="single" w:sz="4" w:space="0" w:color="FAE6B7"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F6E7" w:themeColor="accent2" w:themeTint="32" w:fill="FDF6E7" w:themeFill="accent2" w:themeFillTint="32"/>
      </w:tcPr>
    </w:tblStylePr>
    <w:tblStylePr w:type="band1Horz">
      <w:rPr>
        <w:rFonts w:ascii="Arial" w:hAnsi="Arial"/>
        <w:color w:val="404040"/>
        <w:sz w:val="22"/>
      </w:rPr>
      <w:tblPr/>
      <w:tcPr>
        <w:shd w:val="clear" w:color="FDF6E7" w:themeColor="accent2" w:themeTint="32" w:fill="FDF6E7"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FFEFD5" w:themeColor="accent3" w:themeTint="FE"/>
        <w:insideH w:val="single" w:sz="4" w:space="0" w:color="FFEFD5" w:themeColor="accent3" w:themeTint="FE"/>
        <w:insideV w:val="single" w:sz="4" w:space="0" w:color="FFEFD5" w:themeColor="accent3" w:themeTint="FE"/>
      </w:tblBorders>
    </w:tblPr>
    <w:tblStylePr w:type="firstRow">
      <w:rPr>
        <w:b/>
        <w:color w:val="404040"/>
      </w:rPr>
      <w:tblPr/>
      <w:tcPr>
        <w:tcBorders>
          <w:top w:val="none" w:sz="4" w:space="0" w:color="000000"/>
          <w:left w:val="none" w:sz="4" w:space="0" w:color="000000"/>
          <w:bottom w:val="single" w:sz="12" w:space="0" w:color="FFEFD5" w:themeColor="accent3" w:themeTint="FE"/>
          <w:right w:val="none" w:sz="4" w:space="0" w:color="000000"/>
        </w:tcBorders>
        <w:shd w:val="clear" w:color="FFFFFF" w:fill="auto"/>
      </w:tcPr>
    </w:tblStylePr>
    <w:tblStylePr w:type="lastRow">
      <w:rPr>
        <w:b/>
        <w:color w:val="404040"/>
      </w:rPr>
      <w:tblPr/>
      <w:tcPr>
        <w:tcBorders>
          <w:top w:val="single" w:sz="4" w:space="0" w:color="FFEFD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BF6" w:themeColor="accent3" w:themeTint="34" w:fill="FFFBF6" w:themeFill="accent3" w:themeFillTint="34"/>
      </w:tcPr>
    </w:tblStylePr>
    <w:tblStylePr w:type="band1Horz">
      <w:rPr>
        <w:rFonts w:ascii="Arial" w:hAnsi="Arial"/>
        <w:color w:val="404040"/>
        <w:sz w:val="22"/>
      </w:rPr>
      <w:tblPr/>
      <w:tcPr>
        <w:shd w:val="clear" w:color="FFFBF6" w:themeColor="accent3" w:themeTint="34" w:fill="FFFBF6"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92D763" w:themeColor="accent4" w:themeTint="9A"/>
        <w:insideH w:val="single" w:sz="4" w:space="0" w:color="92D763" w:themeColor="accent4" w:themeTint="9A"/>
        <w:insideV w:val="single" w:sz="4" w:space="0" w:color="92D763" w:themeColor="accent4" w:themeTint="9A"/>
      </w:tblBorders>
    </w:tblPr>
    <w:tblStylePr w:type="firstRow">
      <w:rPr>
        <w:b/>
        <w:color w:val="404040"/>
      </w:rPr>
      <w:tblPr/>
      <w:tcPr>
        <w:tcBorders>
          <w:top w:val="none" w:sz="4" w:space="0" w:color="000000"/>
          <w:left w:val="none" w:sz="4" w:space="0" w:color="000000"/>
          <w:bottom w:val="single" w:sz="12" w:space="0" w:color="92D763" w:themeColor="accent4" w:themeTint="9A"/>
          <w:right w:val="none" w:sz="4" w:space="0" w:color="000000"/>
        </w:tcBorders>
        <w:shd w:val="clear" w:color="FFFFFF" w:fill="auto"/>
      </w:tcPr>
    </w:tblStylePr>
    <w:tblStylePr w:type="lastRow">
      <w:rPr>
        <w:b/>
        <w:color w:val="404040"/>
      </w:rPr>
      <w:tblPr/>
      <w:tcPr>
        <w:tcBorders>
          <w:top w:val="single" w:sz="4" w:space="0" w:color="92D763"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F1CA" w:themeColor="accent4" w:themeTint="34" w:fill="DAF1CA" w:themeFill="accent4" w:themeFillTint="34"/>
      </w:tcPr>
    </w:tblStylePr>
    <w:tblStylePr w:type="band1Horz">
      <w:rPr>
        <w:rFonts w:ascii="Arial" w:hAnsi="Arial"/>
        <w:color w:val="404040"/>
        <w:sz w:val="22"/>
      </w:rPr>
      <w:tblPr/>
      <w:tcPr>
        <w:shd w:val="clear" w:color="DAF1CA" w:themeColor="accent4" w:themeTint="34" w:fill="DAF1CA"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8FB264" w:themeColor="accent5"/>
        <w:insideH w:val="single" w:sz="4" w:space="0" w:color="8FB264" w:themeColor="accent5"/>
        <w:insideV w:val="single" w:sz="4" w:space="0" w:color="8FB264" w:themeColor="accent5"/>
      </w:tblBorders>
    </w:tblPr>
    <w:tblStylePr w:type="firstRow">
      <w:rPr>
        <w:b/>
        <w:color w:val="404040"/>
      </w:rPr>
      <w:tblPr/>
      <w:tcPr>
        <w:tcBorders>
          <w:top w:val="none" w:sz="4" w:space="0" w:color="000000"/>
          <w:left w:val="none" w:sz="4" w:space="0" w:color="000000"/>
          <w:bottom w:val="single" w:sz="12" w:space="0" w:color="8FB264" w:themeColor="accent5"/>
          <w:right w:val="none" w:sz="4" w:space="0" w:color="000000"/>
        </w:tcBorders>
        <w:shd w:val="clear" w:color="FFFFFF" w:fill="auto"/>
      </w:tcPr>
    </w:tblStylePr>
    <w:tblStylePr w:type="lastRow">
      <w:rPr>
        <w:b/>
        <w:color w:val="404040"/>
      </w:rPr>
      <w:tblPr/>
      <w:tcPr>
        <w:tcBorders>
          <w:top w:val="single" w:sz="4" w:space="0" w:color="8FB26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FDF" w:themeColor="accent5" w:themeTint="34" w:fill="E8EFDF" w:themeFill="accent5" w:themeFillTint="34"/>
      </w:tcPr>
    </w:tblStylePr>
    <w:tblStylePr w:type="band1Horz">
      <w:rPr>
        <w:rFonts w:ascii="Arial" w:hAnsi="Arial"/>
        <w:color w:val="404040"/>
        <w:sz w:val="22"/>
      </w:rPr>
      <w:tblPr/>
      <w:tcPr>
        <w:shd w:val="clear" w:color="E8EFDF" w:themeColor="accent5" w:themeTint="34" w:fill="E8EFDF"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D1DEBD" w:themeColor="accent6"/>
        <w:insideH w:val="single" w:sz="4" w:space="0" w:color="D1DEBD" w:themeColor="accent6"/>
        <w:insideV w:val="single" w:sz="4" w:space="0" w:color="D1DEBD" w:themeColor="accent6"/>
      </w:tblBorders>
    </w:tblPr>
    <w:tblStylePr w:type="firstRow">
      <w:rPr>
        <w:b/>
        <w:color w:val="404040"/>
      </w:rPr>
      <w:tblPr/>
      <w:tcPr>
        <w:tcBorders>
          <w:top w:val="none" w:sz="4" w:space="0" w:color="000000"/>
          <w:left w:val="none" w:sz="4" w:space="0" w:color="000000"/>
          <w:bottom w:val="single" w:sz="12" w:space="0" w:color="D1DEBD" w:themeColor="accent6"/>
          <w:right w:val="none" w:sz="4" w:space="0" w:color="000000"/>
        </w:tcBorders>
        <w:shd w:val="clear" w:color="FFFFFF" w:fill="auto"/>
      </w:tcPr>
    </w:tblStylePr>
    <w:tblStylePr w:type="lastRow">
      <w:rPr>
        <w:b/>
        <w:color w:val="404040"/>
      </w:rPr>
      <w:tblPr/>
      <w:tcPr>
        <w:tcBorders>
          <w:top w:val="single" w:sz="4" w:space="0" w:color="D1DEBD"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5F8F1" w:themeColor="accent6" w:themeTint="34" w:fill="F5F8F1" w:themeFill="accent6" w:themeFillTint="34"/>
      </w:tcPr>
    </w:tblStylePr>
    <w:tblStylePr w:type="band1Horz">
      <w:rPr>
        <w:rFonts w:ascii="Arial" w:hAnsi="Arial"/>
        <w:color w:val="404040"/>
        <w:sz w:val="22"/>
      </w:rPr>
      <w:tblPr/>
      <w:tcPr>
        <w:shd w:val="clear" w:color="F5F8F1" w:themeColor="accent6" w:themeTint="34" w:fill="F5F8F1"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A39F9E" w:themeColor="text1" w:themeTint="95"/>
        <w:insideH w:val="single" w:sz="4" w:space="0" w:color="A39F9E" w:themeColor="text1" w:themeTint="95"/>
        <w:insideV w:val="single" w:sz="4" w:space="0" w:color="A39F9E"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FDDDD" w:themeColor="text1" w:themeTint="34" w:fill="DFDDDD" w:themeFill="text1" w:themeFillTint="34"/>
      </w:tcPr>
    </w:tblStylePr>
    <w:tblStylePr w:type="band1Horz">
      <w:rPr>
        <w:rFonts w:ascii="Arial" w:hAnsi="Arial"/>
        <w:color w:val="404040"/>
        <w:sz w:val="22"/>
      </w:rPr>
      <w:tblPr/>
      <w:tcPr>
        <w:shd w:val="clear" w:color="DFDDDD" w:themeColor="text1" w:themeTint="34" w:fill="DFDDDD"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F4C754" w:themeColor="accent1" w:themeTint="EA"/>
        <w:insideH w:val="single" w:sz="4" w:space="0" w:color="F4C754" w:themeColor="accent1" w:themeTint="EA"/>
        <w:insideV w:val="single" w:sz="4" w:space="0" w:color="F4C754"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CF2D8" w:themeColor="accent1" w:themeTint="34" w:fill="FCF2D8" w:themeFill="accent1" w:themeFillTint="34"/>
      </w:tcPr>
    </w:tblStylePr>
    <w:tblStylePr w:type="band1Horz">
      <w:rPr>
        <w:rFonts w:ascii="Arial" w:hAnsi="Arial"/>
        <w:color w:val="404040"/>
        <w:sz w:val="22"/>
      </w:rPr>
      <w:tblPr/>
      <w:tcPr>
        <w:shd w:val="clear" w:color="FCF2D8" w:themeColor="accent1" w:themeTint="34" w:fill="FCF2D8"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AE6B7" w:themeColor="accent2" w:themeTint="97"/>
        <w:insideH w:val="single" w:sz="4" w:space="0" w:color="FAE6B7" w:themeColor="accent2" w:themeTint="97"/>
        <w:insideV w:val="single" w:sz="4" w:space="0" w:color="FAE6B7"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F6E7" w:themeColor="accent2" w:themeTint="32" w:fill="FDF6E7" w:themeFill="accent2" w:themeFillTint="32"/>
      </w:tcPr>
    </w:tblStylePr>
    <w:tblStylePr w:type="band1Horz">
      <w:rPr>
        <w:rFonts w:ascii="Arial" w:hAnsi="Arial"/>
        <w:color w:val="404040"/>
        <w:sz w:val="22"/>
      </w:rPr>
      <w:tblPr/>
      <w:tcPr>
        <w:shd w:val="clear" w:color="FDF6E7" w:themeColor="accent2" w:themeTint="32" w:fill="FDF6E7"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FFEFD5" w:themeColor="accent3" w:themeTint="FE"/>
        <w:insideH w:val="single" w:sz="4" w:space="0" w:color="FFEFD5" w:themeColor="accent3" w:themeTint="FE"/>
        <w:insideV w:val="single" w:sz="4" w:space="0" w:color="FFEFD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BF6" w:themeColor="accent3" w:themeTint="34" w:fill="FFFBF6" w:themeFill="accent3" w:themeFillTint="34"/>
      </w:tcPr>
    </w:tblStylePr>
    <w:tblStylePr w:type="band1Horz">
      <w:rPr>
        <w:rFonts w:ascii="Arial" w:hAnsi="Arial"/>
        <w:color w:val="404040"/>
        <w:sz w:val="22"/>
      </w:rPr>
      <w:tblPr/>
      <w:tcPr>
        <w:shd w:val="clear" w:color="FFFBF6" w:themeColor="accent3" w:themeTint="34" w:fill="FFFBF6"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92D763" w:themeColor="accent4" w:themeTint="9A"/>
        <w:insideH w:val="single" w:sz="4" w:space="0" w:color="92D763" w:themeColor="accent4" w:themeTint="9A"/>
        <w:insideV w:val="single" w:sz="4" w:space="0" w:color="92D763"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F1CA" w:themeColor="accent4" w:themeTint="34" w:fill="DAF1CA" w:themeFill="accent4" w:themeFillTint="34"/>
      </w:tcPr>
    </w:tblStylePr>
    <w:tblStylePr w:type="band1Horz">
      <w:rPr>
        <w:rFonts w:ascii="Arial" w:hAnsi="Arial"/>
        <w:color w:val="404040"/>
        <w:sz w:val="22"/>
      </w:rPr>
      <w:tblPr/>
      <w:tcPr>
        <w:shd w:val="clear" w:color="DAF1CA" w:themeColor="accent4" w:themeTint="34" w:fill="DAF1CA"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8FB264" w:themeColor="accent5"/>
        <w:insideH w:val="single" w:sz="4" w:space="0" w:color="8FB264" w:themeColor="accent5"/>
        <w:insideV w:val="single" w:sz="4" w:space="0" w:color="8FB26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8EFDF" w:themeColor="accent5" w:themeTint="34" w:fill="E8EFDF" w:themeFill="accent5" w:themeFillTint="34"/>
      </w:tcPr>
    </w:tblStylePr>
    <w:tblStylePr w:type="band1Horz">
      <w:rPr>
        <w:rFonts w:ascii="Arial" w:hAnsi="Arial"/>
        <w:color w:val="404040"/>
        <w:sz w:val="22"/>
      </w:rPr>
      <w:tblPr/>
      <w:tcPr>
        <w:shd w:val="clear" w:color="E8EFDF" w:themeColor="accent5" w:themeTint="34" w:fill="E8EFDF"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D1DEBD" w:themeColor="accent6"/>
        <w:insideH w:val="single" w:sz="4" w:space="0" w:color="D1DEBD" w:themeColor="accent6"/>
        <w:insideV w:val="single" w:sz="4" w:space="0" w:color="D1DEBD"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5F8F1" w:themeColor="accent6" w:themeTint="34" w:fill="F5F8F1" w:themeFill="accent6" w:themeFillTint="34"/>
      </w:tcPr>
    </w:tblStylePr>
    <w:tblStylePr w:type="band1Horz">
      <w:rPr>
        <w:rFonts w:ascii="Arial" w:hAnsi="Arial"/>
        <w:color w:val="404040"/>
        <w:sz w:val="22"/>
      </w:rPr>
      <w:tblPr/>
      <w:tcPr>
        <w:shd w:val="clear" w:color="F5F8F1" w:themeColor="accent6" w:themeTint="34" w:fill="F5F8F1"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A6A2A1" w:themeColor="text1" w:themeTint="90"/>
        <w:left w:val="single" w:sz="4" w:space="0" w:color="A6A2A1" w:themeColor="text1" w:themeTint="90"/>
        <w:bottom w:val="single" w:sz="4" w:space="0" w:color="A6A2A1" w:themeColor="text1" w:themeTint="90"/>
        <w:right w:val="single" w:sz="4" w:space="0" w:color="A6A2A1" w:themeColor="text1" w:themeTint="90"/>
        <w:insideH w:val="single" w:sz="4" w:space="0" w:color="A6A2A1" w:themeColor="text1" w:themeTint="90"/>
        <w:insideV w:val="single" w:sz="4" w:space="0" w:color="A6A2A1" w:themeColor="text1" w:themeTint="90"/>
      </w:tblBorders>
    </w:tblPr>
    <w:tblStylePr w:type="firstRow">
      <w:rPr>
        <w:rFonts w:ascii="Arial" w:hAnsi="Arial"/>
        <w:b/>
        <w:color w:val="FFFFFF"/>
        <w:sz w:val="22"/>
      </w:rPr>
      <w:tblPr/>
      <w:tcPr>
        <w:tcBorders>
          <w:top w:val="single" w:sz="4" w:space="0" w:color="605C5B" w:themeColor="text1"/>
          <w:left w:val="single" w:sz="4" w:space="0" w:color="605C5B" w:themeColor="text1"/>
          <w:bottom w:val="single" w:sz="4" w:space="0" w:color="605C5B" w:themeColor="text1"/>
          <w:right w:val="single" w:sz="4" w:space="0" w:color="605C5B" w:themeColor="text1"/>
        </w:tcBorders>
        <w:shd w:val="clear" w:color="605C5B" w:themeColor="text1" w:fill="605C5B" w:themeFill="text1"/>
      </w:tcPr>
    </w:tblStylePr>
    <w:tblStylePr w:type="lastRow">
      <w:rPr>
        <w:b/>
        <w:color w:val="404040"/>
      </w:rPr>
      <w:tblPr/>
      <w:tcPr>
        <w:tcBorders>
          <w:top w:val="single" w:sz="4" w:space="0" w:color="605C5B"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DDD" w:themeColor="text1" w:themeTint="34" w:fill="DFDDDD" w:themeFill="text1" w:themeFillTint="34"/>
      </w:tcPr>
    </w:tblStylePr>
    <w:tblStylePr w:type="band1Horz">
      <w:rPr>
        <w:rFonts w:ascii="Arial" w:hAnsi="Arial"/>
        <w:color w:val="404040"/>
        <w:sz w:val="22"/>
      </w:rPr>
      <w:tblPr/>
      <w:tcPr>
        <w:shd w:val="clear" w:color="DFDDDD" w:themeColor="text1" w:themeTint="34" w:fill="DFDDDD"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F8DC95" w:themeColor="accent1" w:themeTint="90"/>
        <w:left w:val="single" w:sz="4" w:space="0" w:color="F8DC95" w:themeColor="accent1" w:themeTint="90"/>
        <w:bottom w:val="single" w:sz="4" w:space="0" w:color="F8DC95" w:themeColor="accent1" w:themeTint="90"/>
        <w:right w:val="single" w:sz="4" w:space="0" w:color="F8DC95" w:themeColor="accent1" w:themeTint="90"/>
        <w:insideH w:val="single" w:sz="4" w:space="0" w:color="F8DC95" w:themeColor="accent1" w:themeTint="90"/>
        <w:insideV w:val="single" w:sz="4" w:space="0" w:color="F8DC95" w:themeColor="accent1" w:themeTint="90"/>
      </w:tblBorders>
    </w:tblPr>
    <w:tblStylePr w:type="firstRow">
      <w:rPr>
        <w:rFonts w:ascii="Arial" w:hAnsi="Arial"/>
        <w:b/>
        <w:color w:val="FFFFFF"/>
        <w:sz w:val="22"/>
      </w:rPr>
      <w:tblPr/>
      <w:tcPr>
        <w:tcBorders>
          <w:top w:val="single" w:sz="4" w:space="0" w:color="F4C754" w:themeColor="accent1" w:themeTint="EA"/>
          <w:left w:val="single" w:sz="4" w:space="0" w:color="F4C754" w:themeColor="accent1" w:themeTint="EA"/>
          <w:bottom w:val="single" w:sz="4" w:space="0" w:color="F4C754" w:themeColor="accent1" w:themeTint="EA"/>
          <w:right w:val="single" w:sz="4" w:space="0" w:color="F4C754" w:themeColor="accent1" w:themeTint="EA"/>
        </w:tcBorders>
        <w:shd w:val="clear" w:color="F4C754" w:themeColor="accent1" w:themeTint="EA" w:fill="F4C754" w:themeFill="accent1" w:themeFillTint="EA"/>
      </w:tcPr>
    </w:tblStylePr>
    <w:tblStylePr w:type="lastRow">
      <w:rPr>
        <w:b/>
        <w:color w:val="404040"/>
      </w:rPr>
      <w:tblPr/>
      <w:tcPr>
        <w:tcBorders>
          <w:top w:val="single" w:sz="4" w:space="0" w:color="F4C754"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CF3DA" w:themeColor="accent1" w:themeTint="32" w:fill="FCF3DA" w:themeFill="accent1" w:themeFillTint="32"/>
      </w:tcPr>
    </w:tblStylePr>
    <w:tblStylePr w:type="band1Horz">
      <w:rPr>
        <w:rFonts w:ascii="Arial" w:hAnsi="Arial"/>
        <w:color w:val="404040"/>
        <w:sz w:val="22"/>
      </w:rPr>
      <w:tblPr/>
      <w:tcPr>
        <w:shd w:val="clear" w:color="FCF3DA" w:themeColor="accent1" w:themeTint="32" w:fill="FCF3DA"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AE7BA" w:themeColor="accent2" w:themeTint="90"/>
        <w:left w:val="single" w:sz="4" w:space="0" w:color="FAE7BA" w:themeColor="accent2" w:themeTint="90"/>
        <w:bottom w:val="single" w:sz="4" w:space="0" w:color="FAE7BA" w:themeColor="accent2" w:themeTint="90"/>
        <w:right w:val="single" w:sz="4" w:space="0" w:color="FAE7BA" w:themeColor="accent2" w:themeTint="90"/>
        <w:insideH w:val="single" w:sz="4" w:space="0" w:color="FAE7BA" w:themeColor="accent2" w:themeTint="90"/>
        <w:insideV w:val="single" w:sz="4" w:space="0" w:color="FAE7BA" w:themeColor="accent2" w:themeTint="90"/>
      </w:tblBorders>
    </w:tblPr>
    <w:tblStylePr w:type="firstRow">
      <w:rPr>
        <w:rFonts w:ascii="Arial" w:hAnsi="Arial"/>
        <w:b/>
        <w:color w:val="FFFFFF"/>
        <w:sz w:val="22"/>
      </w:rPr>
      <w:tblPr/>
      <w:tcPr>
        <w:tcBorders>
          <w:top w:val="single" w:sz="4" w:space="0" w:color="FAE6B7" w:themeColor="accent2" w:themeTint="97"/>
          <w:left w:val="single" w:sz="4" w:space="0" w:color="FAE6B7" w:themeColor="accent2" w:themeTint="97"/>
          <w:bottom w:val="single" w:sz="4" w:space="0" w:color="FAE6B7" w:themeColor="accent2" w:themeTint="97"/>
          <w:right w:val="single" w:sz="4" w:space="0" w:color="FAE6B7" w:themeColor="accent2" w:themeTint="97"/>
        </w:tcBorders>
        <w:shd w:val="clear" w:color="FAE6B7" w:themeColor="accent2" w:themeTint="97" w:fill="FAE6B7" w:themeFill="accent2" w:themeFillTint="97"/>
      </w:tcPr>
    </w:tblStylePr>
    <w:tblStylePr w:type="lastRow">
      <w:rPr>
        <w:b/>
        <w:color w:val="404040"/>
      </w:rPr>
      <w:tblPr/>
      <w:tcPr>
        <w:tcBorders>
          <w:top w:val="single" w:sz="4" w:space="0" w:color="FAE6B7"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F6E7" w:themeColor="accent2" w:themeTint="32" w:fill="FDF6E7" w:themeFill="accent2" w:themeFillTint="32"/>
      </w:tcPr>
    </w:tblStylePr>
    <w:tblStylePr w:type="band1Horz">
      <w:rPr>
        <w:rFonts w:ascii="Arial" w:hAnsi="Arial"/>
        <w:color w:val="404040"/>
        <w:sz w:val="22"/>
      </w:rPr>
      <w:tblPr/>
      <w:tcPr>
        <w:shd w:val="clear" w:color="FDF6E7" w:themeColor="accent2" w:themeTint="32" w:fill="FDF6E7"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FFF6E7" w:themeColor="accent3" w:themeTint="90"/>
        <w:left w:val="single" w:sz="4" w:space="0" w:color="FFF6E7" w:themeColor="accent3" w:themeTint="90"/>
        <w:bottom w:val="single" w:sz="4" w:space="0" w:color="FFF6E7" w:themeColor="accent3" w:themeTint="90"/>
        <w:right w:val="single" w:sz="4" w:space="0" w:color="FFF6E7" w:themeColor="accent3" w:themeTint="90"/>
        <w:insideH w:val="single" w:sz="4" w:space="0" w:color="FFF6E7" w:themeColor="accent3" w:themeTint="90"/>
        <w:insideV w:val="single" w:sz="4" w:space="0" w:color="FFF6E7" w:themeColor="accent3" w:themeTint="90"/>
      </w:tblBorders>
    </w:tblPr>
    <w:tblStylePr w:type="firstRow">
      <w:rPr>
        <w:rFonts w:ascii="Arial" w:hAnsi="Arial"/>
        <w:b/>
        <w:color w:val="FFFFFF"/>
        <w:sz w:val="22"/>
      </w:rPr>
      <w:tblPr/>
      <w:tcPr>
        <w:tcBorders>
          <w:top w:val="single" w:sz="4" w:space="0" w:color="FFEFD5" w:themeColor="accent3" w:themeTint="FE"/>
          <w:left w:val="single" w:sz="4" w:space="0" w:color="FFEFD5" w:themeColor="accent3" w:themeTint="FE"/>
          <w:bottom w:val="single" w:sz="4" w:space="0" w:color="FFEFD5" w:themeColor="accent3" w:themeTint="FE"/>
          <w:right w:val="single" w:sz="4" w:space="0" w:color="FFEFD5" w:themeColor="accent3" w:themeTint="FE"/>
        </w:tcBorders>
        <w:shd w:val="clear" w:color="FFEFD5" w:themeColor="accent3" w:themeTint="FE" w:fill="FFEFD5" w:themeFill="accent3" w:themeFillTint="FE"/>
      </w:tcPr>
    </w:tblStylePr>
    <w:tblStylePr w:type="lastRow">
      <w:rPr>
        <w:b/>
        <w:color w:val="404040"/>
      </w:rPr>
      <w:tblPr/>
      <w:tcPr>
        <w:tcBorders>
          <w:top w:val="single" w:sz="4" w:space="0" w:color="FFEFD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BF6" w:themeColor="accent3" w:themeTint="34" w:fill="FFFBF6" w:themeFill="accent3" w:themeFillTint="34"/>
      </w:tcPr>
    </w:tblStylePr>
    <w:tblStylePr w:type="band1Horz">
      <w:rPr>
        <w:rFonts w:ascii="Arial" w:hAnsi="Arial"/>
        <w:color w:val="404040"/>
        <w:sz w:val="22"/>
      </w:rPr>
      <w:tblPr/>
      <w:tcPr>
        <w:shd w:val="clear" w:color="FFFBF6" w:themeColor="accent3" w:themeTint="34" w:fill="FFFBF6"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99DA6D" w:themeColor="accent4" w:themeTint="90"/>
        <w:left w:val="single" w:sz="4" w:space="0" w:color="99DA6D" w:themeColor="accent4" w:themeTint="90"/>
        <w:bottom w:val="single" w:sz="4" w:space="0" w:color="99DA6D" w:themeColor="accent4" w:themeTint="90"/>
        <w:right w:val="single" w:sz="4" w:space="0" w:color="99DA6D" w:themeColor="accent4" w:themeTint="90"/>
        <w:insideH w:val="single" w:sz="4" w:space="0" w:color="99DA6D" w:themeColor="accent4" w:themeTint="90"/>
        <w:insideV w:val="single" w:sz="4" w:space="0" w:color="99DA6D" w:themeColor="accent4" w:themeTint="90"/>
      </w:tblBorders>
    </w:tblPr>
    <w:tblStylePr w:type="firstRow">
      <w:rPr>
        <w:rFonts w:ascii="Arial" w:hAnsi="Arial"/>
        <w:b/>
        <w:color w:val="FFFFFF"/>
        <w:sz w:val="22"/>
      </w:rPr>
      <w:tblPr/>
      <w:tcPr>
        <w:tcBorders>
          <w:top w:val="single" w:sz="4" w:space="0" w:color="92D763" w:themeColor="accent4" w:themeTint="9A"/>
          <w:left w:val="single" w:sz="4" w:space="0" w:color="92D763" w:themeColor="accent4" w:themeTint="9A"/>
          <w:bottom w:val="single" w:sz="4" w:space="0" w:color="92D763" w:themeColor="accent4" w:themeTint="9A"/>
          <w:right w:val="single" w:sz="4" w:space="0" w:color="92D763" w:themeColor="accent4" w:themeTint="9A"/>
        </w:tcBorders>
        <w:shd w:val="clear" w:color="92D763" w:themeColor="accent4" w:themeTint="9A" w:fill="92D763" w:themeFill="accent4" w:themeFillTint="9A"/>
      </w:tcPr>
    </w:tblStylePr>
    <w:tblStylePr w:type="lastRow">
      <w:rPr>
        <w:b/>
        <w:color w:val="404040"/>
      </w:rPr>
      <w:tblPr/>
      <w:tcPr>
        <w:tcBorders>
          <w:top w:val="single" w:sz="4" w:space="0" w:color="92D763"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F1CA" w:themeColor="accent4" w:themeTint="34" w:fill="DAF1CA" w:themeFill="accent4" w:themeFillTint="34"/>
      </w:tcPr>
    </w:tblStylePr>
    <w:tblStylePr w:type="band1Horz">
      <w:rPr>
        <w:rFonts w:ascii="Arial" w:hAnsi="Arial"/>
        <w:color w:val="404040"/>
        <w:sz w:val="22"/>
      </w:rPr>
      <w:tblPr/>
      <w:tcPr>
        <w:shd w:val="clear" w:color="DAF1CA" w:themeColor="accent4" w:themeTint="34" w:fill="DAF1CA"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BFD3A7" w:themeColor="accent5" w:themeTint="90"/>
        <w:left w:val="single" w:sz="4" w:space="0" w:color="BFD3A7" w:themeColor="accent5" w:themeTint="90"/>
        <w:bottom w:val="single" w:sz="4" w:space="0" w:color="BFD3A7" w:themeColor="accent5" w:themeTint="90"/>
        <w:right w:val="single" w:sz="4" w:space="0" w:color="BFD3A7" w:themeColor="accent5" w:themeTint="90"/>
        <w:insideH w:val="single" w:sz="4" w:space="0" w:color="BFD3A7" w:themeColor="accent5" w:themeTint="90"/>
        <w:insideV w:val="single" w:sz="4" w:space="0" w:color="BFD3A7" w:themeColor="accent5" w:themeTint="90"/>
      </w:tblBorders>
    </w:tblPr>
    <w:tblStylePr w:type="firstRow">
      <w:rPr>
        <w:rFonts w:ascii="Arial" w:hAnsi="Arial"/>
        <w:b/>
        <w:color w:val="FFFFFF"/>
        <w:sz w:val="22"/>
      </w:rPr>
      <w:tblPr/>
      <w:tcPr>
        <w:tcBorders>
          <w:top w:val="single" w:sz="4" w:space="0" w:color="8FB264" w:themeColor="accent5"/>
          <w:left w:val="single" w:sz="4" w:space="0" w:color="8FB264" w:themeColor="accent5"/>
          <w:bottom w:val="single" w:sz="4" w:space="0" w:color="8FB264" w:themeColor="accent5"/>
          <w:right w:val="single" w:sz="4" w:space="0" w:color="8FB264" w:themeColor="accent5"/>
        </w:tcBorders>
        <w:shd w:val="clear" w:color="8FB264" w:themeColor="accent5" w:fill="8FB264" w:themeFill="accent5"/>
      </w:tcPr>
    </w:tblStylePr>
    <w:tblStylePr w:type="lastRow">
      <w:rPr>
        <w:b/>
        <w:color w:val="404040"/>
      </w:rPr>
      <w:tblPr/>
      <w:tcPr>
        <w:tcBorders>
          <w:top w:val="single" w:sz="4" w:space="0" w:color="8FB26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FDF" w:themeColor="accent5" w:themeTint="34" w:fill="E8EFDF" w:themeFill="accent5" w:themeFillTint="34"/>
      </w:tcPr>
    </w:tblStylePr>
    <w:tblStylePr w:type="band1Horz">
      <w:rPr>
        <w:rFonts w:ascii="Arial" w:hAnsi="Arial"/>
        <w:color w:val="404040"/>
        <w:sz w:val="22"/>
      </w:rPr>
      <w:tblPr/>
      <w:tcPr>
        <w:shd w:val="clear" w:color="E8EFDF" w:themeColor="accent5" w:themeTint="34" w:fill="E8EFDF"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E4ECD9" w:themeColor="accent6" w:themeTint="90"/>
        <w:left w:val="single" w:sz="4" w:space="0" w:color="E4ECD9" w:themeColor="accent6" w:themeTint="90"/>
        <w:bottom w:val="single" w:sz="4" w:space="0" w:color="E4ECD9" w:themeColor="accent6" w:themeTint="90"/>
        <w:right w:val="single" w:sz="4" w:space="0" w:color="E4ECD9" w:themeColor="accent6" w:themeTint="90"/>
        <w:insideH w:val="single" w:sz="4" w:space="0" w:color="E4ECD9" w:themeColor="accent6" w:themeTint="90"/>
        <w:insideV w:val="single" w:sz="4" w:space="0" w:color="E4ECD9" w:themeColor="accent6" w:themeTint="90"/>
      </w:tblBorders>
    </w:tblPr>
    <w:tblStylePr w:type="firstRow">
      <w:rPr>
        <w:rFonts w:ascii="Arial" w:hAnsi="Arial"/>
        <w:b/>
        <w:color w:val="FFFFFF"/>
        <w:sz w:val="22"/>
      </w:rPr>
      <w:tblPr/>
      <w:tcPr>
        <w:tcBorders>
          <w:top w:val="single" w:sz="4" w:space="0" w:color="D1DEBD" w:themeColor="accent6"/>
          <w:left w:val="single" w:sz="4" w:space="0" w:color="D1DEBD" w:themeColor="accent6"/>
          <w:bottom w:val="single" w:sz="4" w:space="0" w:color="D1DEBD" w:themeColor="accent6"/>
          <w:right w:val="single" w:sz="4" w:space="0" w:color="D1DEBD" w:themeColor="accent6"/>
        </w:tcBorders>
        <w:shd w:val="clear" w:color="D1DEBD" w:themeColor="accent6" w:fill="D1DEBD" w:themeFill="accent6"/>
      </w:tcPr>
    </w:tblStylePr>
    <w:tblStylePr w:type="lastRow">
      <w:rPr>
        <w:b/>
        <w:color w:val="404040"/>
      </w:rPr>
      <w:tblPr/>
      <w:tcPr>
        <w:tcBorders>
          <w:top w:val="single" w:sz="4" w:space="0" w:color="D1DEBD"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5F8F1" w:themeColor="accent6" w:themeTint="34" w:fill="F5F8F1" w:themeFill="accent6" w:themeFillTint="34"/>
      </w:tcPr>
    </w:tblStylePr>
    <w:tblStylePr w:type="band1Horz">
      <w:rPr>
        <w:rFonts w:ascii="Arial" w:hAnsi="Arial"/>
        <w:color w:val="404040"/>
        <w:sz w:val="22"/>
      </w:rPr>
      <w:tblPr/>
      <w:tcPr>
        <w:shd w:val="clear" w:color="F5F8F1" w:themeColor="accent6" w:themeTint="34" w:fill="F5F8F1"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000000" w:themeColor="light1"/>
        <w:left w:val="single" w:sz="4" w:space="0" w:color="000000" w:themeColor="light1"/>
        <w:bottom w:val="single" w:sz="4" w:space="0" w:color="000000" w:themeColor="light1"/>
        <w:right w:val="single" w:sz="4" w:space="0" w:color="000000" w:themeColor="light1"/>
        <w:insideH w:val="single" w:sz="4" w:space="0" w:color="000000" w:themeColor="light1"/>
        <w:insideV w:val="single" w:sz="4" w:space="0" w:color="000000" w:themeColor="light1"/>
      </w:tblBorders>
      <w:shd w:val="clear" w:color="D7D5D5" w:themeColor="text1" w:themeTint="40" w:fill="D7D5D5" w:themeFill="text1" w:themeFillTint="40"/>
    </w:tblPr>
    <w:tblStylePr w:type="firstRow">
      <w:rPr>
        <w:rFonts w:ascii="Arial" w:hAnsi="Arial"/>
        <w:b/>
        <w:color w:val="FFFFFF"/>
        <w:sz w:val="22"/>
      </w:rPr>
      <w:tblPr/>
      <w:tcPr>
        <w:shd w:val="clear" w:color="605C5B" w:themeColor="text1" w:fill="605C5B" w:themeFill="text1"/>
      </w:tcPr>
    </w:tblStylePr>
    <w:tblStylePr w:type="lastRow">
      <w:rPr>
        <w:rFonts w:ascii="Arial" w:hAnsi="Arial"/>
        <w:b/>
        <w:color w:val="FFFFFF"/>
        <w:sz w:val="22"/>
      </w:rPr>
      <w:tblPr/>
      <w:tcPr>
        <w:tcBorders>
          <w:top w:val="single" w:sz="4" w:space="0" w:color="000000" w:themeColor="light1"/>
        </w:tcBorders>
        <w:shd w:val="clear" w:color="605C5B" w:themeColor="text1" w:fill="605C5B" w:themeFill="text1"/>
      </w:tcPr>
    </w:tblStylePr>
    <w:tblStylePr w:type="firstCol">
      <w:rPr>
        <w:rFonts w:ascii="Arial" w:hAnsi="Arial"/>
        <w:b/>
        <w:color w:val="FFFFFF"/>
        <w:sz w:val="22"/>
      </w:rPr>
      <w:tblPr/>
      <w:tcPr>
        <w:shd w:val="clear" w:color="605C5B" w:themeColor="text1" w:fill="605C5B" w:themeFill="text1"/>
      </w:tcPr>
    </w:tblStylePr>
    <w:tblStylePr w:type="lastCol">
      <w:rPr>
        <w:rFonts w:ascii="Arial" w:hAnsi="Arial"/>
        <w:b/>
        <w:color w:val="FFFFFF"/>
        <w:sz w:val="22"/>
      </w:rPr>
      <w:tblPr/>
      <w:tcPr>
        <w:shd w:val="clear" w:color="605C5B" w:themeColor="text1" w:fill="605C5B" w:themeFill="text1"/>
      </w:tcPr>
    </w:tblStylePr>
    <w:tblStylePr w:type="band1Vert">
      <w:tblPr/>
      <w:tcPr>
        <w:shd w:val="clear" w:color="B6B3B2" w:themeColor="text1" w:themeTint="75" w:fill="B6B3B2" w:themeFill="text1" w:themeFillTint="75"/>
      </w:tcPr>
    </w:tblStylePr>
    <w:tblStylePr w:type="band1Horz">
      <w:tblPr/>
      <w:tcPr>
        <w:shd w:val="clear" w:color="B6B3B2" w:themeColor="text1" w:themeTint="75" w:fill="B6B3B2"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000000" w:themeColor="light1"/>
        <w:left w:val="single" w:sz="4" w:space="0" w:color="000000" w:themeColor="light1"/>
        <w:bottom w:val="single" w:sz="4" w:space="0" w:color="000000" w:themeColor="light1"/>
        <w:right w:val="single" w:sz="4" w:space="0" w:color="000000" w:themeColor="light1"/>
        <w:insideH w:val="single" w:sz="4" w:space="0" w:color="000000" w:themeColor="light1"/>
        <w:insideV w:val="single" w:sz="4" w:space="0" w:color="000000" w:themeColor="light1"/>
      </w:tblBorders>
      <w:shd w:val="clear" w:color="FCF2D8" w:themeColor="accent1" w:themeTint="34" w:fill="FCF2D8" w:themeFill="accent1" w:themeFillTint="34"/>
    </w:tblPr>
    <w:tblStylePr w:type="firstRow">
      <w:rPr>
        <w:rFonts w:ascii="Arial" w:hAnsi="Arial"/>
        <w:b/>
        <w:color w:val="FFFFFF"/>
        <w:sz w:val="22"/>
      </w:rPr>
      <w:tblPr/>
      <w:tcPr>
        <w:shd w:val="clear" w:color="F3C345" w:themeColor="accent1" w:fill="F3C345" w:themeFill="accent1"/>
      </w:tcPr>
    </w:tblStylePr>
    <w:tblStylePr w:type="lastRow">
      <w:rPr>
        <w:rFonts w:ascii="Arial" w:hAnsi="Arial"/>
        <w:b/>
        <w:color w:val="FFFFFF"/>
        <w:sz w:val="22"/>
      </w:rPr>
      <w:tblPr/>
      <w:tcPr>
        <w:tcBorders>
          <w:top w:val="single" w:sz="4" w:space="0" w:color="000000" w:themeColor="light1"/>
        </w:tcBorders>
        <w:shd w:val="clear" w:color="F3C345" w:themeColor="accent1" w:fill="F3C345" w:themeFill="accent1"/>
      </w:tcPr>
    </w:tblStylePr>
    <w:tblStylePr w:type="firstCol">
      <w:rPr>
        <w:rFonts w:ascii="Arial" w:hAnsi="Arial"/>
        <w:b/>
        <w:color w:val="FFFFFF"/>
        <w:sz w:val="22"/>
      </w:rPr>
      <w:tblPr/>
      <w:tcPr>
        <w:shd w:val="clear" w:color="F3C345" w:themeColor="accent1" w:fill="F3C345" w:themeFill="accent1"/>
      </w:tcPr>
    </w:tblStylePr>
    <w:tblStylePr w:type="lastCol">
      <w:rPr>
        <w:rFonts w:ascii="Arial" w:hAnsi="Arial"/>
        <w:b/>
        <w:color w:val="FFFFFF"/>
        <w:sz w:val="22"/>
      </w:rPr>
      <w:tblPr/>
      <w:tcPr>
        <w:shd w:val="clear" w:color="F3C345" w:themeColor="accent1" w:fill="F3C345" w:themeFill="accent1"/>
      </w:tcPr>
    </w:tblStylePr>
    <w:tblStylePr w:type="band1Vert">
      <w:tblPr/>
      <w:tcPr>
        <w:shd w:val="clear" w:color="F9E3A9" w:themeColor="accent1" w:themeTint="75" w:fill="F9E3A9" w:themeFill="accent1" w:themeFillTint="75"/>
      </w:tcPr>
    </w:tblStylePr>
    <w:tblStylePr w:type="band1Horz">
      <w:tblPr/>
      <w:tcPr>
        <w:shd w:val="clear" w:color="F9E3A9" w:themeColor="accent1" w:themeTint="75" w:fill="F9E3A9"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000000" w:themeColor="light1"/>
        <w:left w:val="single" w:sz="4" w:space="0" w:color="000000" w:themeColor="light1"/>
        <w:bottom w:val="single" w:sz="4" w:space="0" w:color="000000" w:themeColor="light1"/>
        <w:right w:val="single" w:sz="4" w:space="0" w:color="000000" w:themeColor="light1"/>
        <w:insideH w:val="single" w:sz="4" w:space="0" w:color="000000" w:themeColor="light1"/>
        <w:insideV w:val="single" w:sz="4" w:space="0" w:color="000000" w:themeColor="light1"/>
      </w:tblBorders>
      <w:shd w:val="clear" w:color="FDF6E7" w:themeColor="accent2" w:themeTint="32" w:fill="FDF6E7" w:themeFill="accent2" w:themeFillTint="32"/>
    </w:tblPr>
    <w:tblStylePr w:type="firstRow">
      <w:rPr>
        <w:rFonts w:ascii="Arial" w:hAnsi="Arial"/>
        <w:b/>
        <w:color w:val="FFFFFF"/>
        <w:sz w:val="22"/>
      </w:rPr>
      <w:tblPr/>
      <w:tcPr>
        <w:shd w:val="clear" w:color="F7D586" w:themeColor="accent2" w:fill="F7D586" w:themeFill="accent2"/>
      </w:tcPr>
    </w:tblStylePr>
    <w:tblStylePr w:type="lastRow">
      <w:rPr>
        <w:rFonts w:ascii="Arial" w:hAnsi="Arial"/>
        <w:b/>
        <w:color w:val="FFFFFF"/>
        <w:sz w:val="22"/>
      </w:rPr>
      <w:tblPr/>
      <w:tcPr>
        <w:tcBorders>
          <w:top w:val="single" w:sz="4" w:space="0" w:color="000000" w:themeColor="light1"/>
        </w:tcBorders>
        <w:shd w:val="clear" w:color="F7D586" w:themeColor="accent2" w:fill="F7D586" w:themeFill="accent2"/>
      </w:tcPr>
    </w:tblStylePr>
    <w:tblStylePr w:type="firstCol">
      <w:rPr>
        <w:rFonts w:ascii="Arial" w:hAnsi="Arial"/>
        <w:b/>
        <w:color w:val="FFFFFF"/>
        <w:sz w:val="22"/>
      </w:rPr>
      <w:tblPr/>
      <w:tcPr>
        <w:shd w:val="clear" w:color="F7D586" w:themeColor="accent2" w:fill="F7D586" w:themeFill="accent2"/>
      </w:tcPr>
    </w:tblStylePr>
    <w:tblStylePr w:type="lastCol">
      <w:rPr>
        <w:rFonts w:ascii="Arial" w:hAnsi="Arial"/>
        <w:b/>
        <w:color w:val="FFFFFF"/>
        <w:sz w:val="22"/>
      </w:rPr>
      <w:tblPr/>
      <w:tcPr>
        <w:shd w:val="clear" w:color="F7D586" w:themeColor="accent2" w:fill="F7D586" w:themeFill="accent2"/>
      </w:tcPr>
    </w:tblStylePr>
    <w:tblStylePr w:type="band1Vert">
      <w:tblPr/>
      <w:tcPr>
        <w:shd w:val="clear" w:color="FBEBC7" w:themeColor="accent2" w:themeTint="75" w:fill="FBEBC7" w:themeFill="accent2" w:themeFillTint="75"/>
      </w:tcPr>
    </w:tblStylePr>
    <w:tblStylePr w:type="band1Horz">
      <w:tblPr/>
      <w:tcPr>
        <w:shd w:val="clear" w:color="FBEBC7" w:themeColor="accent2" w:themeTint="75" w:fill="FBEBC7"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000000" w:themeColor="light1"/>
        <w:left w:val="single" w:sz="4" w:space="0" w:color="000000" w:themeColor="light1"/>
        <w:bottom w:val="single" w:sz="4" w:space="0" w:color="000000" w:themeColor="light1"/>
        <w:right w:val="single" w:sz="4" w:space="0" w:color="000000" w:themeColor="light1"/>
        <w:insideH w:val="single" w:sz="4" w:space="0" w:color="000000" w:themeColor="light1"/>
        <w:insideV w:val="single" w:sz="4" w:space="0" w:color="000000" w:themeColor="light1"/>
      </w:tblBorders>
      <w:shd w:val="clear" w:color="FFFBF6" w:themeColor="accent3" w:themeTint="34" w:fill="FFFBF6" w:themeFill="accent3" w:themeFillTint="34"/>
    </w:tblPr>
    <w:tblStylePr w:type="firstRow">
      <w:rPr>
        <w:rFonts w:ascii="Arial" w:hAnsi="Arial"/>
        <w:b/>
        <w:color w:val="FFFFFF"/>
        <w:sz w:val="22"/>
      </w:rPr>
      <w:tblPr/>
      <w:tcPr>
        <w:shd w:val="clear" w:color="FFF0D5" w:themeColor="accent3" w:fill="FFF0D5" w:themeFill="accent3"/>
      </w:tcPr>
    </w:tblStylePr>
    <w:tblStylePr w:type="lastRow">
      <w:rPr>
        <w:rFonts w:ascii="Arial" w:hAnsi="Arial"/>
        <w:b/>
        <w:color w:val="FFFFFF"/>
        <w:sz w:val="22"/>
      </w:rPr>
      <w:tblPr/>
      <w:tcPr>
        <w:tcBorders>
          <w:top w:val="single" w:sz="4" w:space="0" w:color="000000" w:themeColor="light1"/>
        </w:tcBorders>
        <w:shd w:val="clear" w:color="FFF0D5" w:themeColor="accent3" w:fill="FFF0D5" w:themeFill="accent3"/>
      </w:tcPr>
    </w:tblStylePr>
    <w:tblStylePr w:type="firstCol">
      <w:rPr>
        <w:rFonts w:ascii="Arial" w:hAnsi="Arial"/>
        <w:b/>
        <w:color w:val="FFFFFF"/>
        <w:sz w:val="22"/>
      </w:rPr>
      <w:tblPr/>
      <w:tcPr>
        <w:shd w:val="clear" w:color="FFF0D5" w:themeColor="accent3" w:fill="FFF0D5" w:themeFill="accent3"/>
      </w:tcPr>
    </w:tblStylePr>
    <w:tblStylePr w:type="lastCol">
      <w:rPr>
        <w:rFonts w:ascii="Arial" w:hAnsi="Arial"/>
        <w:b/>
        <w:color w:val="FFFFFF"/>
        <w:sz w:val="22"/>
      </w:rPr>
      <w:tblPr/>
      <w:tcPr>
        <w:shd w:val="clear" w:color="FFF0D5" w:themeColor="accent3" w:fill="FFF0D5" w:themeFill="accent3"/>
      </w:tcPr>
    </w:tblStylePr>
    <w:tblStylePr w:type="band1Vert">
      <w:tblPr/>
      <w:tcPr>
        <w:shd w:val="clear" w:color="FFF8EB" w:themeColor="accent3" w:themeTint="75" w:fill="FFF8EB" w:themeFill="accent3" w:themeFillTint="75"/>
      </w:tcPr>
    </w:tblStylePr>
    <w:tblStylePr w:type="band1Horz">
      <w:tblPr/>
      <w:tcPr>
        <w:shd w:val="clear" w:color="FFF8EB" w:themeColor="accent3" w:themeTint="75" w:fill="FFF8EB"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000000" w:themeColor="light1"/>
        <w:left w:val="single" w:sz="4" w:space="0" w:color="000000" w:themeColor="light1"/>
        <w:bottom w:val="single" w:sz="4" w:space="0" w:color="000000" w:themeColor="light1"/>
        <w:right w:val="single" w:sz="4" w:space="0" w:color="000000" w:themeColor="light1"/>
        <w:insideH w:val="single" w:sz="4" w:space="0" w:color="000000" w:themeColor="light1"/>
        <w:insideV w:val="single" w:sz="4" w:space="0" w:color="000000" w:themeColor="light1"/>
      </w:tblBorders>
      <w:shd w:val="clear" w:color="DAF1CA" w:themeColor="accent4" w:themeTint="34" w:fill="DAF1CA" w:themeFill="accent4" w:themeFillTint="34"/>
    </w:tblPr>
    <w:tblStylePr w:type="firstRow">
      <w:rPr>
        <w:rFonts w:ascii="Arial" w:hAnsi="Arial"/>
        <w:b/>
        <w:color w:val="FFFFFF"/>
        <w:sz w:val="22"/>
      </w:rPr>
      <w:tblPr/>
      <w:tcPr>
        <w:shd w:val="clear" w:color="549626" w:themeColor="accent4" w:fill="549626" w:themeFill="accent4"/>
      </w:tcPr>
    </w:tblStylePr>
    <w:tblStylePr w:type="lastRow">
      <w:rPr>
        <w:rFonts w:ascii="Arial" w:hAnsi="Arial"/>
        <w:b/>
        <w:color w:val="FFFFFF"/>
        <w:sz w:val="22"/>
      </w:rPr>
      <w:tblPr/>
      <w:tcPr>
        <w:tcBorders>
          <w:top w:val="single" w:sz="4" w:space="0" w:color="000000" w:themeColor="light1"/>
        </w:tcBorders>
        <w:shd w:val="clear" w:color="549626" w:themeColor="accent4" w:fill="549626" w:themeFill="accent4"/>
      </w:tcPr>
    </w:tblStylePr>
    <w:tblStylePr w:type="firstCol">
      <w:rPr>
        <w:rFonts w:ascii="Arial" w:hAnsi="Arial"/>
        <w:b/>
        <w:color w:val="FFFFFF"/>
        <w:sz w:val="22"/>
      </w:rPr>
      <w:tblPr/>
      <w:tcPr>
        <w:shd w:val="clear" w:color="549626" w:themeColor="accent4" w:fill="549626" w:themeFill="accent4"/>
      </w:tcPr>
    </w:tblStylePr>
    <w:tblStylePr w:type="lastCol">
      <w:rPr>
        <w:rFonts w:ascii="Arial" w:hAnsi="Arial"/>
        <w:b/>
        <w:color w:val="FFFFFF"/>
        <w:sz w:val="22"/>
      </w:rPr>
      <w:tblPr/>
      <w:tcPr>
        <w:shd w:val="clear" w:color="549626" w:themeColor="accent4" w:fill="549626" w:themeFill="accent4"/>
      </w:tcPr>
    </w:tblStylePr>
    <w:tblStylePr w:type="band1Vert">
      <w:tblPr/>
      <w:tcPr>
        <w:shd w:val="clear" w:color="ACE188" w:themeColor="accent4" w:themeTint="75" w:fill="ACE188" w:themeFill="accent4" w:themeFillTint="75"/>
      </w:tcPr>
    </w:tblStylePr>
    <w:tblStylePr w:type="band1Horz">
      <w:tblPr/>
      <w:tcPr>
        <w:shd w:val="clear" w:color="ACE188" w:themeColor="accent4" w:themeTint="75" w:fill="ACE188"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000000" w:themeColor="light1"/>
        <w:left w:val="single" w:sz="4" w:space="0" w:color="000000" w:themeColor="light1"/>
        <w:bottom w:val="single" w:sz="4" w:space="0" w:color="000000" w:themeColor="light1"/>
        <w:right w:val="single" w:sz="4" w:space="0" w:color="000000" w:themeColor="light1"/>
        <w:insideH w:val="single" w:sz="4" w:space="0" w:color="000000" w:themeColor="light1"/>
        <w:insideV w:val="single" w:sz="4" w:space="0" w:color="000000" w:themeColor="light1"/>
      </w:tblBorders>
      <w:shd w:val="clear" w:color="E8EFDF" w:themeColor="accent5" w:themeTint="34" w:fill="E8EFDF" w:themeFill="accent5" w:themeFillTint="34"/>
    </w:tblPr>
    <w:tblStylePr w:type="firstRow">
      <w:rPr>
        <w:rFonts w:ascii="Arial" w:hAnsi="Arial"/>
        <w:b/>
        <w:color w:val="FFFFFF"/>
        <w:sz w:val="22"/>
      </w:rPr>
      <w:tblPr/>
      <w:tcPr>
        <w:shd w:val="clear" w:color="8FB264" w:themeColor="accent5" w:fill="8FB264" w:themeFill="accent5"/>
      </w:tcPr>
    </w:tblStylePr>
    <w:tblStylePr w:type="lastRow">
      <w:rPr>
        <w:rFonts w:ascii="Arial" w:hAnsi="Arial"/>
        <w:b/>
        <w:color w:val="FFFFFF"/>
        <w:sz w:val="22"/>
      </w:rPr>
      <w:tblPr/>
      <w:tcPr>
        <w:tcBorders>
          <w:top w:val="single" w:sz="4" w:space="0" w:color="000000" w:themeColor="light1"/>
        </w:tcBorders>
        <w:shd w:val="clear" w:color="8FB264" w:themeColor="accent5" w:fill="8FB264" w:themeFill="accent5"/>
      </w:tcPr>
    </w:tblStylePr>
    <w:tblStylePr w:type="firstCol">
      <w:rPr>
        <w:rFonts w:ascii="Arial" w:hAnsi="Arial"/>
        <w:b/>
        <w:color w:val="FFFFFF"/>
        <w:sz w:val="22"/>
      </w:rPr>
      <w:tblPr/>
      <w:tcPr>
        <w:shd w:val="clear" w:color="8FB264" w:themeColor="accent5" w:fill="8FB264" w:themeFill="accent5"/>
      </w:tcPr>
    </w:tblStylePr>
    <w:tblStylePr w:type="lastCol">
      <w:rPr>
        <w:rFonts w:ascii="Arial" w:hAnsi="Arial"/>
        <w:b/>
        <w:color w:val="FFFFFF"/>
        <w:sz w:val="22"/>
      </w:rPr>
      <w:tblPr/>
      <w:tcPr>
        <w:shd w:val="clear" w:color="8FB264" w:themeColor="accent5" w:fill="8FB264" w:themeFill="accent5"/>
      </w:tcPr>
    </w:tblStylePr>
    <w:tblStylePr w:type="band1Vert">
      <w:tblPr/>
      <w:tcPr>
        <w:shd w:val="clear" w:color="CBDBB7" w:themeColor="accent5" w:themeTint="75" w:fill="CBDBB7" w:themeFill="accent5" w:themeFillTint="75"/>
      </w:tcPr>
    </w:tblStylePr>
    <w:tblStylePr w:type="band1Horz">
      <w:tblPr/>
      <w:tcPr>
        <w:shd w:val="clear" w:color="CBDBB7" w:themeColor="accent5" w:themeTint="75" w:fill="CBDBB7"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000000" w:themeColor="light1"/>
        <w:left w:val="single" w:sz="4" w:space="0" w:color="000000" w:themeColor="light1"/>
        <w:bottom w:val="single" w:sz="4" w:space="0" w:color="000000" w:themeColor="light1"/>
        <w:right w:val="single" w:sz="4" w:space="0" w:color="000000" w:themeColor="light1"/>
        <w:insideH w:val="single" w:sz="4" w:space="0" w:color="000000" w:themeColor="light1"/>
        <w:insideV w:val="single" w:sz="4" w:space="0" w:color="000000" w:themeColor="light1"/>
      </w:tblBorders>
      <w:shd w:val="clear" w:color="F5F8F1" w:themeColor="accent6" w:themeTint="34" w:fill="F5F8F1" w:themeFill="accent6" w:themeFillTint="34"/>
    </w:tblPr>
    <w:tblStylePr w:type="firstRow">
      <w:rPr>
        <w:rFonts w:ascii="Arial" w:hAnsi="Arial"/>
        <w:b/>
        <w:color w:val="FFFFFF"/>
        <w:sz w:val="22"/>
      </w:rPr>
      <w:tblPr/>
      <w:tcPr>
        <w:shd w:val="clear" w:color="D1DEBD" w:themeColor="accent6" w:fill="D1DEBD" w:themeFill="accent6"/>
      </w:tcPr>
    </w:tblStylePr>
    <w:tblStylePr w:type="lastRow">
      <w:rPr>
        <w:rFonts w:ascii="Arial" w:hAnsi="Arial"/>
        <w:b/>
        <w:color w:val="FFFFFF"/>
        <w:sz w:val="22"/>
      </w:rPr>
      <w:tblPr/>
      <w:tcPr>
        <w:tcBorders>
          <w:top w:val="single" w:sz="4" w:space="0" w:color="000000" w:themeColor="light1"/>
        </w:tcBorders>
        <w:shd w:val="clear" w:color="D1DEBD" w:themeColor="accent6" w:fill="D1DEBD" w:themeFill="accent6"/>
      </w:tcPr>
    </w:tblStylePr>
    <w:tblStylePr w:type="firstCol">
      <w:rPr>
        <w:rFonts w:ascii="Arial" w:hAnsi="Arial"/>
        <w:b/>
        <w:color w:val="FFFFFF"/>
        <w:sz w:val="22"/>
      </w:rPr>
      <w:tblPr/>
      <w:tcPr>
        <w:shd w:val="clear" w:color="D1DEBD" w:themeColor="accent6" w:fill="D1DEBD" w:themeFill="accent6"/>
      </w:tcPr>
    </w:tblStylePr>
    <w:tblStylePr w:type="lastCol">
      <w:rPr>
        <w:rFonts w:ascii="Arial" w:hAnsi="Arial"/>
        <w:b/>
        <w:color w:val="FFFFFF"/>
        <w:sz w:val="22"/>
      </w:rPr>
      <w:tblPr/>
      <w:tcPr>
        <w:shd w:val="clear" w:color="D1DEBD" w:themeColor="accent6" w:fill="D1DEBD" w:themeFill="accent6"/>
      </w:tcPr>
    </w:tblStylePr>
    <w:tblStylePr w:type="band1Vert">
      <w:tblPr/>
      <w:tcPr>
        <w:shd w:val="clear" w:color="E9EFE0" w:themeColor="accent6" w:themeTint="75" w:fill="E9EFE0" w:themeFill="accent6" w:themeFillTint="75"/>
      </w:tcPr>
    </w:tblStylePr>
    <w:tblStylePr w:type="band1Horz">
      <w:tblPr/>
      <w:tcPr>
        <w:shd w:val="clear" w:color="E9EFE0" w:themeColor="accent6" w:themeTint="75" w:fill="E9EFE0"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B0ACAB" w:themeColor="text1" w:themeTint="80"/>
        <w:left w:val="single" w:sz="4" w:space="0" w:color="B0ACAB" w:themeColor="text1" w:themeTint="80"/>
        <w:bottom w:val="single" w:sz="4" w:space="0" w:color="B0ACAB" w:themeColor="text1" w:themeTint="80"/>
        <w:right w:val="single" w:sz="4" w:space="0" w:color="B0ACAB" w:themeColor="text1" w:themeTint="80"/>
        <w:insideH w:val="single" w:sz="4" w:space="0" w:color="B0ACAB" w:themeColor="text1" w:themeTint="80"/>
        <w:insideV w:val="single" w:sz="4" w:space="0" w:color="B0ACAB" w:themeColor="text1" w:themeTint="80"/>
      </w:tblBorders>
    </w:tblPr>
    <w:tblStylePr w:type="firstRow">
      <w:rPr>
        <w:b/>
        <w:color w:val="B0ACAB" w:themeColor="text1" w:themeTint="80" w:themeShade="95"/>
      </w:rPr>
      <w:tblPr/>
      <w:tcPr>
        <w:tcBorders>
          <w:bottom w:val="single" w:sz="12" w:space="0" w:color="B0ACAB" w:themeColor="text1" w:themeTint="80"/>
        </w:tcBorders>
      </w:tcPr>
    </w:tblStylePr>
    <w:tblStylePr w:type="lastRow">
      <w:rPr>
        <w:b/>
        <w:color w:val="B0ACAB" w:themeColor="text1" w:themeTint="80" w:themeShade="95"/>
      </w:rPr>
    </w:tblStylePr>
    <w:tblStylePr w:type="firstCol">
      <w:rPr>
        <w:b/>
        <w:color w:val="B0ACAB" w:themeColor="text1" w:themeTint="80" w:themeShade="95"/>
      </w:rPr>
    </w:tblStylePr>
    <w:tblStylePr w:type="lastCol">
      <w:rPr>
        <w:b/>
        <w:color w:val="B0ACAB" w:themeColor="text1" w:themeTint="80" w:themeShade="95"/>
      </w:rPr>
    </w:tblStylePr>
    <w:tblStylePr w:type="band1Vert">
      <w:tblPr/>
      <w:tcPr>
        <w:shd w:val="clear" w:color="DFDDDD" w:themeColor="text1" w:themeTint="34" w:fill="DFDDDD" w:themeFill="text1" w:themeFillTint="34"/>
      </w:tcPr>
    </w:tblStylePr>
    <w:tblStylePr w:type="band1Horz">
      <w:rPr>
        <w:rFonts w:ascii="Arial" w:hAnsi="Arial"/>
        <w:color w:val="B0ACAB" w:themeColor="text1" w:themeTint="80" w:themeShade="95"/>
        <w:sz w:val="22"/>
      </w:rPr>
      <w:tblPr/>
      <w:tcPr>
        <w:shd w:val="clear" w:color="DFDDDD" w:themeColor="text1" w:themeTint="34" w:fill="DFDDDD" w:themeFill="text1" w:themeFillTint="34"/>
      </w:tcPr>
    </w:tblStylePr>
    <w:tblStylePr w:type="band2Horz">
      <w:rPr>
        <w:rFonts w:ascii="Arial" w:hAnsi="Arial"/>
        <w:color w:val="B0ACAB"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F9E0A1" w:themeColor="accent1" w:themeTint="80"/>
        <w:left w:val="single" w:sz="4" w:space="0" w:color="F9E0A1" w:themeColor="accent1" w:themeTint="80"/>
        <w:bottom w:val="single" w:sz="4" w:space="0" w:color="F9E0A1" w:themeColor="accent1" w:themeTint="80"/>
        <w:right w:val="single" w:sz="4" w:space="0" w:color="F9E0A1" w:themeColor="accent1" w:themeTint="80"/>
        <w:insideH w:val="single" w:sz="4" w:space="0" w:color="F9E0A1" w:themeColor="accent1" w:themeTint="80"/>
        <w:insideV w:val="single" w:sz="4" w:space="0" w:color="F9E0A1" w:themeColor="accent1" w:themeTint="80"/>
      </w:tblBorders>
    </w:tblPr>
    <w:tblStylePr w:type="firstRow">
      <w:rPr>
        <w:b/>
        <w:color w:val="F9E0A1" w:themeColor="accent1" w:themeTint="80" w:themeShade="95"/>
      </w:rPr>
      <w:tblPr/>
      <w:tcPr>
        <w:tcBorders>
          <w:bottom w:val="single" w:sz="12" w:space="0" w:color="F9E0A1" w:themeColor="accent1" w:themeTint="80"/>
        </w:tcBorders>
      </w:tcPr>
    </w:tblStylePr>
    <w:tblStylePr w:type="lastRow">
      <w:rPr>
        <w:b/>
        <w:color w:val="F9E0A1" w:themeColor="accent1" w:themeTint="80" w:themeShade="95"/>
      </w:rPr>
    </w:tblStylePr>
    <w:tblStylePr w:type="firstCol">
      <w:rPr>
        <w:b/>
        <w:color w:val="F9E0A1" w:themeColor="accent1" w:themeTint="80" w:themeShade="95"/>
      </w:rPr>
    </w:tblStylePr>
    <w:tblStylePr w:type="lastCol">
      <w:rPr>
        <w:b/>
        <w:color w:val="F9E0A1" w:themeColor="accent1" w:themeTint="80" w:themeShade="95"/>
      </w:rPr>
    </w:tblStylePr>
    <w:tblStylePr w:type="band1Vert">
      <w:tblPr/>
      <w:tcPr>
        <w:shd w:val="clear" w:color="FCF2D8" w:themeColor="accent1" w:themeTint="34" w:fill="FCF2D8" w:themeFill="accent1" w:themeFillTint="34"/>
      </w:tcPr>
    </w:tblStylePr>
    <w:tblStylePr w:type="band1Horz">
      <w:rPr>
        <w:rFonts w:ascii="Arial" w:hAnsi="Arial"/>
        <w:color w:val="F9E0A1" w:themeColor="accent1" w:themeTint="80" w:themeShade="95"/>
        <w:sz w:val="22"/>
      </w:rPr>
      <w:tblPr/>
      <w:tcPr>
        <w:shd w:val="clear" w:color="FCF2D8" w:themeColor="accent1" w:themeTint="34" w:fill="FCF2D8" w:themeFill="accent1" w:themeFillTint="34"/>
      </w:tcPr>
    </w:tblStylePr>
    <w:tblStylePr w:type="band2Horz">
      <w:rPr>
        <w:rFonts w:ascii="Arial" w:hAnsi="Arial"/>
        <w:color w:val="F9E0A1"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AE6B7" w:themeColor="accent2" w:themeTint="97"/>
        <w:left w:val="single" w:sz="4" w:space="0" w:color="FAE6B7" w:themeColor="accent2" w:themeTint="97"/>
        <w:bottom w:val="single" w:sz="4" w:space="0" w:color="FAE6B7" w:themeColor="accent2" w:themeTint="97"/>
        <w:right w:val="single" w:sz="4" w:space="0" w:color="FAE6B7" w:themeColor="accent2" w:themeTint="97"/>
        <w:insideH w:val="single" w:sz="4" w:space="0" w:color="FAE6B7" w:themeColor="accent2" w:themeTint="97"/>
        <w:insideV w:val="single" w:sz="4" w:space="0" w:color="FAE6B7" w:themeColor="accent2" w:themeTint="97"/>
      </w:tblBorders>
    </w:tblPr>
    <w:tblStylePr w:type="firstRow">
      <w:rPr>
        <w:b/>
        <w:color w:val="FAE6B7" w:themeColor="accent2" w:themeTint="97" w:themeShade="95"/>
      </w:rPr>
      <w:tblPr/>
      <w:tcPr>
        <w:tcBorders>
          <w:bottom w:val="single" w:sz="12" w:space="0" w:color="FAE6B7" w:themeColor="accent2" w:themeTint="97"/>
        </w:tcBorders>
      </w:tcPr>
    </w:tblStylePr>
    <w:tblStylePr w:type="lastRow">
      <w:rPr>
        <w:b/>
        <w:color w:val="FAE6B7" w:themeColor="accent2" w:themeTint="97" w:themeShade="95"/>
      </w:rPr>
    </w:tblStylePr>
    <w:tblStylePr w:type="firstCol">
      <w:rPr>
        <w:b/>
        <w:color w:val="FAE6B7" w:themeColor="accent2" w:themeTint="97" w:themeShade="95"/>
      </w:rPr>
    </w:tblStylePr>
    <w:tblStylePr w:type="lastCol">
      <w:rPr>
        <w:b/>
        <w:color w:val="FAE6B7" w:themeColor="accent2" w:themeTint="97" w:themeShade="95"/>
      </w:rPr>
    </w:tblStylePr>
    <w:tblStylePr w:type="band1Vert">
      <w:tblPr/>
      <w:tcPr>
        <w:shd w:val="clear" w:color="FDF6E7" w:themeColor="accent2" w:themeTint="32" w:fill="FDF6E7" w:themeFill="accent2" w:themeFillTint="32"/>
      </w:tcPr>
    </w:tblStylePr>
    <w:tblStylePr w:type="band1Horz">
      <w:rPr>
        <w:rFonts w:ascii="Arial" w:hAnsi="Arial"/>
        <w:color w:val="FAE6B7" w:themeColor="accent2" w:themeTint="97" w:themeShade="95"/>
        <w:sz w:val="22"/>
      </w:rPr>
      <w:tblPr/>
      <w:tcPr>
        <w:shd w:val="clear" w:color="FDF6E7" w:themeColor="accent2" w:themeTint="32" w:fill="FDF6E7" w:themeFill="accent2" w:themeFillTint="32"/>
      </w:tcPr>
    </w:tblStylePr>
    <w:tblStylePr w:type="band2Horz">
      <w:rPr>
        <w:rFonts w:ascii="Arial" w:hAnsi="Arial"/>
        <w:color w:val="FAE6B7"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FFEFD5" w:themeColor="accent3" w:themeTint="FE"/>
        <w:left w:val="single" w:sz="4" w:space="0" w:color="FFEFD5" w:themeColor="accent3" w:themeTint="FE"/>
        <w:bottom w:val="single" w:sz="4" w:space="0" w:color="FFEFD5" w:themeColor="accent3" w:themeTint="FE"/>
        <w:right w:val="single" w:sz="4" w:space="0" w:color="FFEFD5" w:themeColor="accent3" w:themeTint="FE"/>
        <w:insideH w:val="single" w:sz="4" w:space="0" w:color="FFEFD5" w:themeColor="accent3" w:themeTint="FE"/>
        <w:insideV w:val="single" w:sz="4" w:space="0" w:color="FFEFD5" w:themeColor="accent3" w:themeTint="FE"/>
      </w:tblBorders>
    </w:tblPr>
    <w:tblStylePr w:type="firstRow">
      <w:rPr>
        <w:b/>
        <w:color w:val="FFEFD5" w:themeColor="accent3" w:themeTint="FE" w:themeShade="95"/>
      </w:rPr>
      <w:tblPr/>
      <w:tcPr>
        <w:tcBorders>
          <w:bottom w:val="single" w:sz="12" w:space="0" w:color="FFEFD5" w:themeColor="accent3" w:themeTint="FE"/>
        </w:tcBorders>
      </w:tcPr>
    </w:tblStylePr>
    <w:tblStylePr w:type="lastRow">
      <w:rPr>
        <w:b/>
        <w:color w:val="FFEFD5" w:themeColor="accent3" w:themeTint="FE" w:themeShade="95"/>
      </w:rPr>
    </w:tblStylePr>
    <w:tblStylePr w:type="firstCol">
      <w:rPr>
        <w:b/>
        <w:color w:val="FFEFD5" w:themeColor="accent3" w:themeTint="FE" w:themeShade="95"/>
      </w:rPr>
    </w:tblStylePr>
    <w:tblStylePr w:type="lastCol">
      <w:rPr>
        <w:b/>
        <w:color w:val="FFEFD5" w:themeColor="accent3" w:themeTint="FE" w:themeShade="95"/>
      </w:rPr>
    </w:tblStylePr>
    <w:tblStylePr w:type="band1Vert">
      <w:tblPr/>
      <w:tcPr>
        <w:shd w:val="clear" w:color="FFFBF6" w:themeColor="accent3" w:themeTint="34" w:fill="FFFBF6" w:themeFill="accent3" w:themeFillTint="34"/>
      </w:tcPr>
    </w:tblStylePr>
    <w:tblStylePr w:type="band1Horz">
      <w:rPr>
        <w:rFonts w:ascii="Arial" w:hAnsi="Arial"/>
        <w:color w:val="FFEFD5" w:themeColor="accent3" w:themeTint="FE" w:themeShade="95"/>
        <w:sz w:val="22"/>
      </w:rPr>
      <w:tblPr/>
      <w:tcPr>
        <w:shd w:val="clear" w:color="FFFBF6" w:themeColor="accent3" w:themeTint="34" w:fill="FFFBF6" w:themeFill="accent3" w:themeFillTint="34"/>
      </w:tcPr>
    </w:tblStylePr>
    <w:tblStylePr w:type="band2Horz">
      <w:rPr>
        <w:rFonts w:ascii="Arial" w:hAnsi="Arial"/>
        <w:color w:val="FFEFD5"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92D763" w:themeColor="accent4" w:themeTint="9A"/>
        <w:left w:val="single" w:sz="4" w:space="0" w:color="92D763" w:themeColor="accent4" w:themeTint="9A"/>
        <w:bottom w:val="single" w:sz="4" w:space="0" w:color="92D763" w:themeColor="accent4" w:themeTint="9A"/>
        <w:right w:val="single" w:sz="4" w:space="0" w:color="92D763" w:themeColor="accent4" w:themeTint="9A"/>
        <w:insideH w:val="single" w:sz="4" w:space="0" w:color="92D763" w:themeColor="accent4" w:themeTint="9A"/>
        <w:insideV w:val="single" w:sz="4" w:space="0" w:color="92D763" w:themeColor="accent4" w:themeTint="9A"/>
      </w:tblBorders>
    </w:tblPr>
    <w:tblStylePr w:type="firstRow">
      <w:rPr>
        <w:b/>
        <w:color w:val="92D763" w:themeColor="accent4" w:themeTint="9A" w:themeShade="95"/>
      </w:rPr>
      <w:tblPr/>
      <w:tcPr>
        <w:tcBorders>
          <w:bottom w:val="single" w:sz="12" w:space="0" w:color="92D763" w:themeColor="accent4" w:themeTint="9A"/>
        </w:tcBorders>
      </w:tcPr>
    </w:tblStylePr>
    <w:tblStylePr w:type="lastRow">
      <w:rPr>
        <w:b/>
        <w:color w:val="92D763" w:themeColor="accent4" w:themeTint="9A" w:themeShade="95"/>
      </w:rPr>
    </w:tblStylePr>
    <w:tblStylePr w:type="firstCol">
      <w:rPr>
        <w:b/>
        <w:color w:val="92D763" w:themeColor="accent4" w:themeTint="9A" w:themeShade="95"/>
      </w:rPr>
    </w:tblStylePr>
    <w:tblStylePr w:type="lastCol">
      <w:rPr>
        <w:b/>
        <w:color w:val="92D763" w:themeColor="accent4" w:themeTint="9A" w:themeShade="95"/>
      </w:rPr>
    </w:tblStylePr>
    <w:tblStylePr w:type="band1Vert">
      <w:tblPr/>
      <w:tcPr>
        <w:shd w:val="clear" w:color="DAF1CA" w:themeColor="accent4" w:themeTint="34" w:fill="DAF1CA" w:themeFill="accent4" w:themeFillTint="34"/>
      </w:tcPr>
    </w:tblStylePr>
    <w:tblStylePr w:type="band1Horz">
      <w:rPr>
        <w:rFonts w:ascii="Arial" w:hAnsi="Arial"/>
        <w:color w:val="92D763" w:themeColor="accent4" w:themeTint="9A" w:themeShade="95"/>
        <w:sz w:val="22"/>
      </w:rPr>
      <w:tblPr/>
      <w:tcPr>
        <w:shd w:val="clear" w:color="DAF1CA" w:themeColor="accent4" w:themeTint="34" w:fill="DAF1CA" w:themeFill="accent4" w:themeFillTint="34"/>
      </w:tcPr>
    </w:tblStylePr>
    <w:tblStylePr w:type="band2Horz">
      <w:rPr>
        <w:rFonts w:ascii="Arial" w:hAnsi="Arial"/>
        <w:color w:val="92D763"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8FB264" w:themeColor="accent5"/>
        <w:left w:val="single" w:sz="4" w:space="0" w:color="8FB264" w:themeColor="accent5"/>
        <w:bottom w:val="single" w:sz="4" w:space="0" w:color="8FB264" w:themeColor="accent5"/>
        <w:right w:val="single" w:sz="4" w:space="0" w:color="8FB264" w:themeColor="accent5"/>
        <w:insideH w:val="single" w:sz="4" w:space="0" w:color="8FB264" w:themeColor="accent5"/>
        <w:insideV w:val="single" w:sz="4" w:space="0" w:color="8FB264" w:themeColor="accent5"/>
      </w:tblBorders>
    </w:tblPr>
    <w:tblStylePr w:type="firstRow">
      <w:rPr>
        <w:b/>
        <w:color w:val="536C36" w:themeColor="accent5" w:themeShade="95"/>
      </w:rPr>
      <w:tblPr/>
      <w:tcPr>
        <w:tcBorders>
          <w:bottom w:val="single" w:sz="12" w:space="0" w:color="8FB264" w:themeColor="accent5"/>
        </w:tcBorders>
      </w:tcPr>
    </w:tblStylePr>
    <w:tblStylePr w:type="lastRow">
      <w:rPr>
        <w:b/>
        <w:color w:val="536C36" w:themeColor="accent5" w:themeShade="95"/>
      </w:rPr>
    </w:tblStylePr>
    <w:tblStylePr w:type="firstCol">
      <w:rPr>
        <w:b/>
        <w:color w:val="536C36" w:themeColor="accent5" w:themeShade="95"/>
      </w:rPr>
    </w:tblStylePr>
    <w:tblStylePr w:type="lastCol">
      <w:rPr>
        <w:b/>
        <w:color w:val="536C36" w:themeColor="accent5" w:themeShade="95"/>
      </w:rPr>
    </w:tblStylePr>
    <w:tblStylePr w:type="band1Vert">
      <w:tblPr/>
      <w:tcPr>
        <w:shd w:val="clear" w:color="E8EFDF" w:themeColor="accent5" w:themeTint="34" w:fill="E8EFDF" w:themeFill="accent5" w:themeFillTint="34"/>
      </w:tcPr>
    </w:tblStylePr>
    <w:tblStylePr w:type="band1Horz">
      <w:rPr>
        <w:rFonts w:ascii="Arial" w:hAnsi="Arial"/>
        <w:color w:val="536C36" w:themeColor="accent5" w:themeShade="95"/>
        <w:sz w:val="22"/>
      </w:rPr>
      <w:tblPr/>
      <w:tcPr>
        <w:shd w:val="clear" w:color="E8EFDF" w:themeColor="accent5" w:themeTint="34" w:fill="E8EFDF" w:themeFill="accent5" w:themeFillTint="34"/>
      </w:tcPr>
    </w:tblStylePr>
    <w:tblStylePr w:type="band2Horz">
      <w:rPr>
        <w:rFonts w:ascii="Arial" w:hAnsi="Arial"/>
        <w:color w:val="536C36"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D1DEBD" w:themeColor="accent6"/>
        <w:left w:val="single" w:sz="4" w:space="0" w:color="D1DEBD" w:themeColor="accent6"/>
        <w:bottom w:val="single" w:sz="4" w:space="0" w:color="D1DEBD" w:themeColor="accent6"/>
        <w:right w:val="single" w:sz="4" w:space="0" w:color="D1DEBD" w:themeColor="accent6"/>
        <w:insideH w:val="single" w:sz="4" w:space="0" w:color="D1DEBD" w:themeColor="accent6"/>
        <w:insideV w:val="single" w:sz="4" w:space="0" w:color="D1DEBD" w:themeColor="accent6"/>
      </w:tblBorders>
    </w:tblPr>
    <w:tblStylePr w:type="firstRow">
      <w:rPr>
        <w:b/>
        <w:color w:val="536C36" w:themeColor="accent5" w:themeShade="95"/>
      </w:rPr>
      <w:tblPr/>
      <w:tcPr>
        <w:tcBorders>
          <w:bottom w:val="single" w:sz="12" w:space="0" w:color="D1DEBD" w:themeColor="accent6"/>
        </w:tcBorders>
      </w:tcPr>
    </w:tblStylePr>
    <w:tblStylePr w:type="lastRow">
      <w:rPr>
        <w:b/>
        <w:color w:val="536C36" w:themeColor="accent5" w:themeShade="95"/>
      </w:rPr>
    </w:tblStylePr>
    <w:tblStylePr w:type="firstCol">
      <w:rPr>
        <w:b/>
        <w:color w:val="536C36" w:themeColor="accent5" w:themeShade="95"/>
      </w:rPr>
    </w:tblStylePr>
    <w:tblStylePr w:type="lastCol">
      <w:rPr>
        <w:b/>
        <w:color w:val="536C36" w:themeColor="accent5" w:themeShade="95"/>
      </w:rPr>
    </w:tblStylePr>
    <w:tblStylePr w:type="band1Vert">
      <w:tblPr/>
      <w:tcPr>
        <w:shd w:val="clear" w:color="F5F8F1" w:themeColor="accent6" w:themeTint="34" w:fill="F5F8F1" w:themeFill="accent6" w:themeFillTint="34"/>
      </w:tcPr>
    </w:tblStylePr>
    <w:tblStylePr w:type="band1Horz">
      <w:rPr>
        <w:rFonts w:ascii="Arial" w:hAnsi="Arial"/>
        <w:color w:val="536C36" w:themeColor="accent5" w:themeShade="95"/>
        <w:sz w:val="22"/>
      </w:rPr>
      <w:tblPr/>
      <w:tcPr>
        <w:shd w:val="clear" w:color="F5F8F1" w:themeColor="accent6" w:themeTint="34" w:fill="F5F8F1" w:themeFill="accent6" w:themeFillTint="34"/>
      </w:tcPr>
    </w:tblStylePr>
    <w:tblStylePr w:type="band2Horz">
      <w:rPr>
        <w:rFonts w:ascii="Arial" w:hAnsi="Arial"/>
        <w:color w:val="536C36"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B0ACAB" w:themeColor="text1" w:themeTint="80"/>
        <w:right w:val="single" w:sz="4" w:space="0" w:color="B0ACAB" w:themeColor="text1" w:themeTint="80"/>
        <w:insideH w:val="single" w:sz="4" w:space="0" w:color="B0ACAB" w:themeColor="text1" w:themeTint="80"/>
        <w:insideV w:val="single" w:sz="4" w:space="0" w:color="B0ACAB" w:themeColor="text1" w:themeTint="80"/>
      </w:tblBorders>
    </w:tblPr>
    <w:tblStylePr w:type="firstRow">
      <w:rPr>
        <w:rFonts w:ascii="Arial" w:hAnsi="Arial"/>
        <w:b/>
        <w:color w:val="B0ACAB" w:themeColor="text1" w:themeTint="80" w:themeShade="95"/>
        <w:sz w:val="22"/>
      </w:rPr>
      <w:tblPr/>
      <w:tcPr>
        <w:tcBorders>
          <w:top w:val="none" w:sz="0" w:space="0" w:color="auto"/>
          <w:left w:val="none" w:sz="0" w:space="0" w:color="auto"/>
          <w:bottom w:val="single" w:sz="4" w:space="0" w:color="B0ACAB" w:themeColor="text1" w:themeTint="80"/>
          <w:right w:val="none" w:sz="0" w:space="0" w:color="auto"/>
        </w:tcBorders>
        <w:shd w:val="clear" w:color="000000" w:themeColor="light1" w:fill="000000" w:themeFill="light1"/>
      </w:tcPr>
    </w:tblStylePr>
    <w:tblStylePr w:type="lastRow">
      <w:rPr>
        <w:rFonts w:ascii="Arial" w:hAnsi="Arial"/>
        <w:b/>
        <w:color w:val="B0ACAB" w:themeColor="text1" w:themeTint="80" w:themeShade="95"/>
        <w:sz w:val="22"/>
      </w:rPr>
      <w:tblPr/>
      <w:tcPr>
        <w:tcBorders>
          <w:top w:val="single" w:sz="4" w:space="0" w:color="B0ACAB" w:themeColor="text1" w:themeTint="80"/>
          <w:left w:val="none" w:sz="0" w:space="0" w:color="auto"/>
          <w:bottom w:val="none" w:sz="0" w:space="0" w:color="auto"/>
          <w:right w:val="none" w:sz="0" w:space="0" w:color="auto"/>
        </w:tcBorders>
        <w:shd w:val="clear" w:color="000000" w:themeColor="light1" w:fill="000000" w:themeFill="light1"/>
      </w:tcPr>
    </w:tblStylePr>
    <w:tblStylePr w:type="firstCol">
      <w:pPr>
        <w:jc w:val="right"/>
      </w:pPr>
      <w:rPr>
        <w:rFonts w:ascii="Arial" w:hAnsi="Arial"/>
        <w:i/>
        <w:color w:val="B0ACAB" w:themeColor="text1" w:themeTint="80" w:themeShade="95"/>
        <w:sz w:val="22"/>
      </w:rPr>
      <w:tblPr/>
      <w:tcPr>
        <w:tcBorders>
          <w:top w:val="none" w:sz="0" w:space="0" w:color="auto"/>
          <w:left w:val="none" w:sz="0" w:space="0" w:color="auto"/>
          <w:bottom w:val="none" w:sz="0" w:space="0" w:color="auto"/>
          <w:right w:val="single" w:sz="4" w:space="0" w:color="B0ACAB" w:themeColor="text1" w:themeTint="80"/>
        </w:tcBorders>
        <w:shd w:val="clear" w:color="FFFFFF" w:fill="auto"/>
      </w:tcPr>
    </w:tblStylePr>
    <w:tblStylePr w:type="lastCol">
      <w:rPr>
        <w:rFonts w:ascii="Arial" w:hAnsi="Arial"/>
        <w:i/>
        <w:color w:val="B0ACAB" w:themeColor="text1" w:themeTint="80" w:themeShade="95"/>
        <w:sz w:val="22"/>
      </w:rPr>
      <w:tblPr/>
      <w:tcPr>
        <w:tcBorders>
          <w:top w:val="none" w:sz="0" w:space="0" w:color="auto"/>
          <w:left w:val="single" w:sz="4" w:space="0" w:color="B0ACAB" w:themeColor="text1" w:themeTint="80"/>
          <w:bottom w:val="none" w:sz="0" w:space="0" w:color="auto"/>
          <w:right w:val="none" w:sz="0" w:space="0" w:color="auto"/>
        </w:tcBorders>
        <w:shd w:val="clear" w:color="FFFFFF" w:fill="auto"/>
      </w:tcPr>
    </w:tblStylePr>
    <w:tblStylePr w:type="band1Vert">
      <w:tblPr/>
      <w:tcPr>
        <w:shd w:val="clear" w:color="F7F6F6" w:themeColor="text1" w:themeTint="0D" w:fill="F7F6F6" w:themeFill="text1" w:themeFillTint="0D"/>
      </w:tcPr>
    </w:tblStylePr>
    <w:tblStylePr w:type="band1Horz">
      <w:rPr>
        <w:rFonts w:ascii="Arial" w:hAnsi="Arial"/>
        <w:color w:val="B0ACAB" w:themeColor="text1" w:themeTint="80" w:themeShade="95"/>
        <w:sz w:val="22"/>
      </w:rPr>
      <w:tblPr/>
      <w:tcPr>
        <w:shd w:val="clear" w:color="F7F6F6" w:themeColor="text1" w:themeTint="0D" w:fill="F7F6F6" w:themeFill="text1" w:themeFillTint="0D"/>
      </w:tcPr>
    </w:tblStylePr>
    <w:tblStylePr w:type="band2Horz">
      <w:rPr>
        <w:rFonts w:ascii="Arial" w:hAnsi="Arial"/>
        <w:color w:val="B0ACAB"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F9E0A1" w:themeColor="accent1" w:themeTint="80"/>
        <w:right w:val="single" w:sz="4" w:space="0" w:color="F9E0A1" w:themeColor="accent1" w:themeTint="80"/>
        <w:insideH w:val="single" w:sz="4" w:space="0" w:color="F9E0A1" w:themeColor="accent1" w:themeTint="80"/>
        <w:insideV w:val="single" w:sz="4" w:space="0" w:color="F9E0A1" w:themeColor="accent1" w:themeTint="80"/>
      </w:tblBorders>
    </w:tblPr>
    <w:tblStylePr w:type="firstRow">
      <w:rPr>
        <w:rFonts w:ascii="Arial" w:hAnsi="Arial"/>
        <w:b/>
        <w:color w:val="F9E0A1" w:themeColor="accent1" w:themeTint="80" w:themeShade="95"/>
        <w:sz w:val="22"/>
      </w:rPr>
      <w:tblPr/>
      <w:tcPr>
        <w:tcBorders>
          <w:top w:val="none" w:sz="0" w:space="0" w:color="auto"/>
          <w:left w:val="none" w:sz="0" w:space="0" w:color="auto"/>
          <w:bottom w:val="single" w:sz="4" w:space="0" w:color="F9E0A1" w:themeColor="accent1" w:themeTint="80"/>
          <w:right w:val="none" w:sz="0" w:space="0" w:color="auto"/>
        </w:tcBorders>
        <w:shd w:val="clear" w:color="000000" w:themeColor="light1" w:fill="000000" w:themeFill="light1"/>
      </w:tcPr>
    </w:tblStylePr>
    <w:tblStylePr w:type="lastRow">
      <w:rPr>
        <w:rFonts w:ascii="Arial" w:hAnsi="Arial"/>
        <w:b/>
        <w:color w:val="F9E0A1" w:themeColor="accent1" w:themeTint="80" w:themeShade="95"/>
        <w:sz w:val="22"/>
      </w:rPr>
      <w:tblPr/>
      <w:tcPr>
        <w:tcBorders>
          <w:top w:val="single" w:sz="4" w:space="0" w:color="F9E0A1" w:themeColor="accent1" w:themeTint="80"/>
          <w:left w:val="none" w:sz="0" w:space="0" w:color="auto"/>
          <w:bottom w:val="none" w:sz="0" w:space="0" w:color="auto"/>
          <w:right w:val="none" w:sz="0" w:space="0" w:color="auto"/>
        </w:tcBorders>
        <w:shd w:val="clear" w:color="000000" w:themeColor="light1" w:fill="000000" w:themeFill="light1"/>
      </w:tcPr>
    </w:tblStylePr>
    <w:tblStylePr w:type="firstCol">
      <w:pPr>
        <w:jc w:val="right"/>
      </w:pPr>
      <w:rPr>
        <w:rFonts w:ascii="Arial" w:hAnsi="Arial"/>
        <w:i/>
        <w:color w:val="F9E0A1" w:themeColor="accent1" w:themeTint="80" w:themeShade="95"/>
        <w:sz w:val="22"/>
      </w:rPr>
      <w:tblPr/>
      <w:tcPr>
        <w:tcBorders>
          <w:top w:val="none" w:sz="0" w:space="0" w:color="auto"/>
          <w:left w:val="none" w:sz="0" w:space="0" w:color="auto"/>
          <w:bottom w:val="none" w:sz="0" w:space="0" w:color="auto"/>
          <w:right w:val="single" w:sz="4" w:space="0" w:color="F9E0A1" w:themeColor="accent1" w:themeTint="80"/>
        </w:tcBorders>
        <w:shd w:val="clear" w:color="FFFFFF" w:fill="auto"/>
      </w:tcPr>
    </w:tblStylePr>
    <w:tblStylePr w:type="lastCol">
      <w:rPr>
        <w:rFonts w:ascii="Arial" w:hAnsi="Arial"/>
        <w:i/>
        <w:color w:val="F9E0A1" w:themeColor="accent1" w:themeTint="80" w:themeShade="95"/>
        <w:sz w:val="22"/>
      </w:rPr>
      <w:tblPr/>
      <w:tcPr>
        <w:tcBorders>
          <w:top w:val="none" w:sz="0" w:space="0" w:color="auto"/>
          <w:left w:val="single" w:sz="4" w:space="0" w:color="F9E0A1" w:themeColor="accent1" w:themeTint="80"/>
          <w:bottom w:val="none" w:sz="0" w:space="0" w:color="auto"/>
          <w:right w:val="none" w:sz="0" w:space="0" w:color="auto"/>
        </w:tcBorders>
        <w:shd w:val="clear" w:color="FFFFFF" w:fill="auto"/>
      </w:tcPr>
    </w:tblStylePr>
    <w:tblStylePr w:type="band1Vert">
      <w:tblPr/>
      <w:tcPr>
        <w:shd w:val="clear" w:color="FCF2D8" w:themeColor="accent1" w:themeTint="34" w:fill="FCF2D8" w:themeFill="accent1" w:themeFillTint="34"/>
      </w:tcPr>
    </w:tblStylePr>
    <w:tblStylePr w:type="band1Horz">
      <w:rPr>
        <w:rFonts w:ascii="Arial" w:hAnsi="Arial"/>
        <w:color w:val="F9E0A1" w:themeColor="accent1" w:themeTint="80" w:themeShade="95"/>
        <w:sz w:val="22"/>
      </w:rPr>
      <w:tblPr/>
      <w:tcPr>
        <w:shd w:val="clear" w:color="FCF2D8" w:themeColor="accent1" w:themeTint="34" w:fill="FCF2D8" w:themeFill="accent1" w:themeFillTint="34"/>
      </w:tcPr>
    </w:tblStylePr>
    <w:tblStylePr w:type="band2Horz">
      <w:rPr>
        <w:rFonts w:ascii="Arial" w:hAnsi="Arial"/>
        <w:color w:val="F9E0A1"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AE6B7" w:themeColor="accent2" w:themeTint="97"/>
        <w:right w:val="single" w:sz="4" w:space="0" w:color="FAE6B7" w:themeColor="accent2" w:themeTint="97"/>
        <w:insideH w:val="single" w:sz="4" w:space="0" w:color="FAE6B7" w:themeColor="accent2" w:themeTint="97"/>
        <w:insideV w:val="single" w:sz="4" w:space="0" w:color="FAE6B7" w:themeColor="accent2" w:themeTint="97"/>
      </w:tblBorders>
    </w:tblPr>
    <w:tblStylePr w:type="firstRow">
      <w:rPr>
        <w:rFonts w:ascii="Arial" w:hAnsi="Arial"/>
        <w:b/>
        <w:color w:val="FAE6B7" w:themeColor="accent2" w:themeTint="97" w:themeShade="95"/>
        <w:sz w:val="22"/>
      </w:rPr>
      <w:tblPr/>
      <w:tcPr>
        <w:tcBorders>
          <w:top w:val="none" w:sz="0" w:space="0" w:color="auto"/>
          <w:left w:val="none" w:sz="0" w:space="0" w:color="auto"/>
          <w:bottom w:val="single" w:sz="4" w:space="0" w:color="FAE6B7" w:themeColor="accent2" w:themeTint="97"/>
          <w:right w:val="none" w:sz="0" w:space="0" w:color="auto"/>
        </w:tcBorders>
        <w:shd w:val="clear" w:color="000000" w:themeColor="light1" w:fill="000000" w:themeFill="light1"/>
      </w:tcPr>
    </w:tblStylePr>
    <w:tblStylePr w:type="lastRow">
      <w:rPr>
        <w:rFonts w:ascii="Arial" w:hAnsi="Arial"/>
        <w:b/>
        <w:color w:val="FAE6B7" w:themeColor="accent2" w:themeTint="97" w:themeShade="95"/>
        <w:sz w:val="22"/>
      </w:rPr>
      <w:tblPr/>
      <w:tcPr>
        <w:tcBorders>
          <w:top w:val="single" w:sz="4" w:space="0" w:color="FAE6B7" w:themeColor="accent2" w:themeTint="97"/>
          <w:left w:val="none" w:sz="0" w:space="0" w:color="auto"/>
          <w:bottom w:val="none" w:sz="0" w:space="0" w:color="auto"/>
          <w:right w:val="none" w:sz="0" w:space="0" w:color="auto"/>
        </w:tcBorders>
        <w:shd w:val="clear" w:color="000000" w:themeColor="light1" w:fill="000000" w:themeFill="light1"/>
      </w:tcPr>
    </w:tblStylePr>
    <w:tblStylePr w:type="firstCol">
      <w:pPr>
        <w:jc w:val="right"/>
      </w:pPr>
      <w:rPr>
        <w:rFonts w:ascii="Arial" w:hAnsi="Arial"/>
        <w:i/>
        <w:color w:val="FAE6B7" w:themeColor="accent2" w:themeTint="97" w:themeShade="95"/>
        <w:sz w:val="22"/>
      </w:rPr>
      <w:tblPr/>
      <w:tcPr>
        <w:tcBorders>
          <w:top w:val="none" w:sz="0" w:space="0" w:color="auto"/>
          <w:left w:val="none" w:sz="0" w:space="0" w:color="auto"/>
          <w:bottom w:val="none" w:sz="0" w:space="0" w:color="auto"/>
          <w:right w:val="single" w:sz="4" w:space="0" w:color="FAE6B7" w:themeColor="accent2" w:themeTint="97"/>
        </w:tcBorders>
        <w:shd w:val="clear" w:color="FFFFFF" w:fill="auto"/>
      </w:tcPr>
    </w:tblStylePr>
    <w:tblStylePr w:type="lastCol">
      <w:rPr>
        <w:rFonts w:ascii="Arial" w:hAnsi="Arial"/>
        <w:i/>
        <w:color w:val="FAE6B7" w:themeColor="accent2" w:themeTint="97" w:themeShade="95"/>
        <w:sz w:val="22"/>
      </w:rPr>
      <w:tblPr/>
      <w:tcPr>
        <w:tcBorders>
          <w:top w:val="none" w:sz="0" w:space="0" w:color="auto"/>
          <w:left w:val="single" w:sz="4" w:space="0" w:color="FAE6B7" w:themeColor="accent2" w:themeTint="97"/>
          <w:bottom w:val="none" w:sz="0" w:space="0" w:color="auto"/>
          <w:right w:val="none" w:sz="0" w:space="0" w:color="auto"/>
        </w:tcBorders>
        <w:shd w:val="clear" w:color="FFFFFF" w:fill="auto"/>
      </w:tcPr>
    </w:tblStylePr>
    <w:tblStylePr w:type="band1Vert">
      <w:tblPr/>
      <w:tcPr>
        <w:shd w:val="clear" w:color="FDF6E7" w:themeColor="accent2" w:themeTint="32" w:fill="FDF6E7" w:themeFill="accent2" w:themeFillTint="32"/>
      </w:tcPr>
    </w:tblStylePr>
    <w:tblStylePr w:type="band1Horz">
      <w:rPr>
        <w:rFonts w:ascii="Arial" w:hAnsi="Arial"/>
        <w:color w:val="FAE6B7" w:themeColor="accent2" w:themeTint="97" w:themeShade="95"/>
        <w:sz w:val="22"/>
      </w:rPr>
      <w:tblPr/>
      <w:tcPr>
        <w:shd w:val="clear" w:color="FDF6E7" w:themeColor="accent2" w:themeTint="32" w:fill="FDF6E7" w:themeFill="accent2" w:themeFillTint="32"/>
      </w:tcPr>
    </w:tblStylePr>
    <w:tblStylePr w:type="band2Horz">
      <w:rPr>
        <w:rFonts w:ascii="Arial" w:hAnsi="Arial"/>
        <w:color w:val="FAE6B7"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FFEFD5" w:themeColor="accent3" w:themeTint="FE"/>
        <w:right w:val="single" w:sz="4" w:space="0" w:color="FFEFD5" w:themeColor="accent3" w:themeTint="FE"/>
        <w:insideH w:val="single" w:sz="4" w:space="0" w:color="FFEFD5" w:themeColor="accent3" w:themeTint="FE"/>
        <w:insideV w:val="single" w:sz="4" w:space="0" w:color="FFEFD5" w:themeColor="accent3" w:themeTint="FE"/>
      </w:tblBorders>
    </w:tblPr>
    <w:tblStylePr w:type="firstRow">
      <w:rPr>
        <w:rFonts w:ascii="Arial" w:hAnsi="Arial"/>
        <w:b/>
        <w:color w:val="FFEFD5" w:themeColor="accent3" w:themeTint="FE" w:themeShade="95"/>
        <w:sz w:val="22"/>
      </w:rPr>
      <w:tblPr/>
      <w:tcPr>
        <w:tcBorders>
          <w:top w:val="none" w:sz="0" w:space="0" w:color="auto"/>
          <w:left w:val="none" w:sz="0" w:space="0" w:color="auto"/>
          <w:bottom w:val="single" w:sz="4" w:space="0" w:color="FFEFD5" w:themeColor="accent3" w:themeTint="FE"/>
          <w:right w:val="none" w:sz="0" w:space="0" w:color="auto"/>
        </w:tcBorders>
        <w:shd w:val="clear" w:color="000000" w:themeColor="light1" w:fill="000000" w:themeFill="light1"/>
      </w:tcPr>
    </w:tblStylePr>
    <w:tblStylePr w:type="lastRow">
      <w:rPr>
        <w:rFonts w:ascii="Arial" w:hAnsi="Arial"/>
        <w:b/>
        <w:color w:val="FFEFD5" w:themeColor="accent3" w:themeTint="FE" w:themeShade="95"/>
        <w:sz w:val="22"/>
      </w:rPr>
      <w:tblPr/>
      <w:tcPr>
        <w:tcBorders>
          <w:top w:val="single" w:sz="4" w:space="0" w:color="FFEFD5" w:themeColor="accent3" w:themeTint="FE"/>
          <w:left w:val="none" w:sz="0" w:space="0" w:color="auto"/>
          <w:bottom w:val="none" w:sz="0" w:space="0" w:color="auto"/>
          <w:right w:val="none" w:sz="0" w:space="0" w:color="auto"/>
        </w:tcBorders>
        <w:shd w:val="clear" w:color="000000" w:themeColor="light1" w:fill="000000" w:themeFill="light1"/>
      </w:tcPr>
    </w:tblStylePr>
    <w:tblStylePr w:type="firstCol">
      <w:pPr>
        <w:jc w:val="right"/>
      </w:pPr>
      <w:rPr>
        <w:rFonts w:ascii="Arial" w:hAnsi="Arial"/>
        <w:i/>
        <w:color w:val="FFEFD5" w:themeColor="accent3" w:themeTint="FE" w:themeShade="95"/>
        <w:sz w:val="22"/>
      </w:rPr>
      <w:tblPr/>
      <w:tcPr>
        <w:tcBorders>
          <w:top w:val="none" w:sz="0" w:space="0" w:color="auto"/>
          <w:left w:val="none" w:sz="0" w:space="0" w:color="auto"/>
          <w:bottom w:val="none" w:sz="0" w:space="0" w:color="auto"/>
          <w:right w:val="single" w:sz="4" w:space="0" w:color="FFEFD5" w:themeColor="accent3" w:themeTint="FE"/>
        </w:tcBorders>
        <w:shd w:val="clear" w:color="FFFFFF" w:fill="auto"/>
      </w:tcPr>
    </w:tblStylePr>
    <w:tblStylePr w:type="lastCol">
      <w:rPr>
        <w:rFonts w:ascii="Arial" w:hAnsi="Arial"/>
        <w:i/>
        <w:color w:val="FFEFD5" w:themeColor="accent3" w:themeTint="FE" w:themeShade="95"/>
        <w:sz w:val="22"/>
      </w:rPr>
      <w:tblPr/>
      <w:tcPr>
        <w:tcBorders>
          <w:top w:val="none" w:sz="0" w:space="0" w:color="auto"/>
          <w:left w:val="single" w:sz="4" w:space="0" w:color="FFEFD5" w:themeColor="accent3" w:themeTint="FE"/>
          <w:bottom w:val="none" w:sz="0" w:space="0" w:color="auto"/>
          <w:right w:val="none" w:sz="0" w:space="0" w:color="auto"/>
        </w:tcBorders>
        <w:shd w:val="clear" w:color="FFFFFF" w:fill="auto"/>
      </w:tcPr>
    </w:tblStylePr>
    <w:tblStylePr w:type="band1Vert">
      <w:tblPr/>
      <w:tcPr>
        <w:shd w:val="clear" w:color="FFFBF6" w:themeColor="accent3" w:themeTint="34" w:fill="FFFBF6" w:themeFill="accent3" w:themeFillTint="34"/>
      </w:tcPr>
    </w:tblStylePr>
    <w:tblStylePr w:type="band1Horz">
      <w:rPr>
        <w:rFonts w:ascii="Arial" w:hAnsi="Arial"/>
        <w:color w:val="FFEFD5" w:themeColor="accent3" w:themeTint="FE" w:themeShade="95"/>
        <w:sz w:val="22"/>
      </w:rPr>
      <w:tblPr/>
      <w:tcPr>
        <w:shd w:val="clear" w:color="FFFBF6" w:themeColor="accent3" w:themeTint="34" w:fill="FFFBF6" w:themeFill="accent3" w:themeFillTint="34"/>
      </w:tcPr>
    </w:tblStylePr>
    <w:tblStylePr w:type="band2Horz">
      <w:rPr>
        <w:rFonts w:ascii="Arial" w:hAnsi="Arial"/>
        <w:color w:val="FFEFD5"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92D763" w:themeColor="accent4" w:themeTint="9A"/>
        <w:right w:val="single" w:sz="4" w:space="0" w:color="92D763" w:themeColor="accent4" w:themeTint="9A"/>
        <w:insideH w:val="single" w:sz="4" w:space="0" w:color="92D763" w:themeColor="accent4" w:themeTint="9A"/>
        <w:insideV w:val="single" w:sz="4" w:space="0" w:color="92D763" w:themeColor="accent4" w:themeTint="9A"/>
      </w:tblBorders>
    </w:tblPr>
    <w:tblStylePr w:type="firstRow">
      <w:rPr>
        <w:rFonts w:ascii="Arial" w:hAnsi="Arial"/>
        <w:b/>
        <w:color w:val="92D763" w:themeColor="accent4" w:themeTint="9A" w:themeShade="95"/>
        <w:sz w:val="22"/>
      </w:rPr>
      <w:tblPr/>
      <w:tcPr>
        <w:tcBorders>
          <w:top w:val="none" w:sz="0" w:space="0" w:color="auto"/>
          <w:left w:val="none" w:sz="0" w:space="0" w:color="auto"/>
          <w:bottom w:val="single" w:sz="4" w:space="0" w:color="92D763" w:themeColor="accent4" w:themeTint="9A"/>
          <w:right w:val="none" w:sz="0" w:space="0" w:color="auto"/>
        </w:tcBorders>
        <w:shd w:val="clear" w:color="000000" w:themeColor="light1" w:fill="000000" w:themeFill="light1"/>
      </w:tcPr>
    </w:tblStylePr>
    <w:tblStylePr w:type="lastRow">
      <w:rPr>
        <w:rFonts w:ascii="Arial" w:hAnsi="Arial"/>
        <w:b/>
        <w:color w:val="92D763" w:themeColor="accent4" w:themeTint="9A" w:themeShade="95"/>
        <w:sz w:val="22"/>
      </w:rPr>
      <w:tblPr/>
      <w:tcPr>
        <w:tcBorders>
          <w:top w:val="single" w:sz="4" w:space="0" w:color="92D763" w:themeColor="accent4" w:themeTint="9A"/>
          <w:left w:val="none" w:sz="0" w:space="0" w:color="auto"/>
          <w:bottom w:val="none" w:sz="0" w:space="0" w:color="auto"/>
          <w:right w:val="none" w:sz="0" w:space="0" w:color="auto"/>
        </w:tcBorders>
        <w:shd w:val="clear" w:color="000000" w:themeColor="light1" w:fill="000000" w:themeFill="light1"/>
      </w:tcPr>
    </w:tblStylePr>
    <w:tblStylePr w:type="firstCol">
      <w:pPr>
        <w:jc w:val="right"/>
      </w:pPr>
      <w:rPr>
        <w:rFonts w:ascii="Arial" w:hAnsi="Arial"/>
        <w:i/>
        <w:color w:val="92D763" w:themeColor="accent4" w:themeTint="9A" w:themeShade="95"/>
        <w:sz w:val="22"/>
      </w:rPr>
      <w:tblPr/>
      <w:tcPr>
        <w:tcBorders>
          <w:top w:val="none" w:sz="0" w:space="0" w:color="auto"/>
          <w:left w:val="none" w:sz="0" w:space="0" w:color="auto"/>
          <w:bottom w:val="none" w:sz="0" w:space="0" w:color="auto"/>
          <w:right w:val="single" w:sz="4" w:space="0" w:color="92D763" w:themeColor="accent4" w:themeTint="9A"/>
        </w:tcBorders>
        <w:shd w:val="clear" w:color="FFFFFF" w:fill="auto"/>
      </w:tcPr>
    </w:tblStylePr>
    <w:tblStylePr w:type="lastCol">
      <w:rPr>
        <w:rFonts w:ascii="Arial" w:hAnsi="Arial"/>
        <w:i/>
        <w:color w:val="92D763" w:themeColor="accent4" w:themeTint="9A" w:themeShade="95"/>
        <w:sz w:val="22"/>
      </w:rPr>
      <w:tblPr/>
      <w:tcPr>
        <w:tcBorders>
          <w:top w:val="none" w:sz="0" w:space="0" w:color="auto"/>
          <w:left w:val="single" w:sz="4" w:space="0" w:color="92D763" w:themeColor="accent4" w:themeTint="9A"/>
          <w:bottom w:val="none" w:sz="0" w:space="0" w:color="auto"/>
          <w:right w:val="none" w:sz="0" w:space="0" w:color="auto"/>
        </w:tcBorders>
        <w:shd w:val="clear" w:color="FFFFFF" w:fill="auto"/>
      </w:tcPr>
    </w:tblStylePr>
    <w:tblStylePr w:type="band1Vert">
      <w:tblPr/>
      <w:tcPr>
        <w:shd w:val="clear" w:color="DAF1CA" w:themeColor="accent4" w:themeTint="34" w:fill="DAF1CA" w:themeFill="accent4" w:themeFillTint="34"/>
      </w:tcPr>
    </w:tblStylePr>
    <w:tblStylePr w:type="band1Horz">
      <w:rPr>
        <w:rFonts w:ascii="Arial" w:hAnsi="Arial"/>
        <w:color w:val="92D763" w:themeColor="accent4" w:themeTint="9A" w:themeShade="95"/>
        <w:sz w:val="22"/>
      </w:rPr>
      <w:tblPr/>
      <w:tcPr>
        <w:shd w:val="clear" w:color="DAF1CA" w:themeColor="accent4" w:themeTint="34" w:fill="DAF1CA" w:themeFill="accent4" w:themeFillTint="34"/>
      </w:tcPr>
    </w:tblStylePr>
    <w:tblStylePr w:type="band2Horz">
      <w:rPr>
        <w:rFonts w:ascii="Arial" w:hAnsi="Arial"/>
        <w:color w:val="92D763"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BFD3A7" w:themeColor="accent5" w:themeTint="90"/>
        <w:right w:val="single" w:sz="4" w:space="0" w:color="BFD3A7" w:themeColor="accent5" w:themeTint="90"/>
        <w:insideH w:val="single" w:sz="4" w:space="0" w:color="BFD3A7" w:themeColor="accent5" w:themeTint="90"/>
        <w:insideV w:val="single" w:sz="4" w:space="0" w:color="BFD3A7" w:themeColor="accent5" w:themeTint="90"/>
      </w:tblBorders>
    </w:tblPr>
    <w:tblStylePr w:type="firstRow">
      <w:rPr>
        <w:rFonts w:ascii="Arial" w:hAnsi="Arial"/>
        <w:b/>
        <w:color w:val="536C36" w:themeColor="accent5" w:themeShade="95"/>
        <w:sz w:val="22"/>
      </w:rPr>
      <w:tblPr/>
      <w:tcPr>
        <w:tcBorders>
          <w:top w:val="none" w:sz="0" w:space="0" w:color="auto"/>
          <w:left w:val="none" w:sz="0" w:space="0" w:color="auto"/>
          <w:bottom w:val="single" w:sz="4" w:space="0" w:color="BFD3A7" w:themeColor="accent5" w:themeTint="90"/>
          <w:right w:val="none" w:sz="0" w:space="0" w:color="auto"/>
        </w:tcBorders>
        <w:shd w:val="clear" w:color="000000" w:themeColor="light1" w:fill="000000" w:themeFill="light1"/>
      </w:tcPr>
    </w:tblStylePr>
    <w:tblStylePr w:type="lastRow">
      <w:rPr>
        <w:rFonts w:ascii="Arial" w:hAnsi="Arial"/>
        <w:b/>
        <w:color w:val="536C36" w:themeColor="accent5" w:themeShade="95"/>
        <w:sz w:val="22"/>
      </w:rPr>
      <w:tblPr/>
      <w:tcPr>
        <w:tcBorders>
          <w:top w:val="single" w:sz="4" w:space="0" w:color="BFD3A7" w:themeColor="accent5" w:themeTint="90"/>
          <w:left w:val="none" w:sz="0" w:space="0" w:color="auto"/>
          <w:bottom w:val="none" w:sz="0" w:space="0" w:color="auto"/>
          <w:right w:val="none" w:sz="0" w:space="0" w:color="auto"/>
        </w:tcBorders>
        <w:shd w:val="clear" w:color="000000" w:themeColor="light1" w:fill="000000" w:themeFill="light1"/>
      </w:tcPr>
    </w:tblStylePr>
    <w:tblStylePr w:type="firstCol">
      <w:pPr>
        <w:jc w:val="right"/>
      </w:pPr>
      <w:rPr>
        <w:rFonts w:ascii="Arial" w:hAnsi="Arial"/>
        <w:i/>
        <w:color w:val="536C36" w:themeColor="accent5" w:themeShade="95"/>
        <w:sz w:val="22"/>
      </w:rPr>
      <w:tblPr/>
      <w:tcPr>
        <w:tcBorders>
          <w:top w:val="none" w:sz="0" w:space="0" w:color="auto"/>
          <w:left w:val="none" w:sz="0" w:space="0" w:color="auto"/>
          <w:bottom w:val="none" w:sz="0" w:space="0" w:color="auto"/>
          <w:right w:val="single" w:sz="4" w:space="0" w:color="BFD3A7" w:themeColor="accent5" w:themeTint="90"/>
        </w:tcBorders>
        <w:shd w:val="clear" w:color="FFFFFF" w:fill="auto"/>
      </w:tcPr>
    </w:tblStylePr>
    <w:tblStylePr w:type="lastCol">
      <w:rPr>
        <w:rFonts w:ascii="Arial" w:hAnsi="Arial"/>
        <w:i/>
        <w:color w:val="536C36" w:themeColor="accent5" w:themeShade="95"/>
        <w:sz w:val="22"/>
      </w:rPr>
      <w:tblPr/>
      <w:tcPr>
        <w:tcBorders>
          <w:top w:val="none" w:sz="0" w:space="0" w:color="auto"/>
          <w:left w:val="single" w:sz="4" w:space="0" w:color="BFD3A7" w:themeColor="accent5" w:themeTint="90"/>
          <w:bottom w:val="none" w:sz="0" w:space="0" w:color="auto"/>
          <w:right w:val="none" w:sz="0" w:space="0" w:color="auto"/>
        </w:tcBorders>
        <w:shd w:val="clear" w:color="FFFFFF" w:fill="auto"/>
      </w:tcPr>
    </w:tblStylePr>
    <w:tblStylePr w:type="band1Vert">
      <w:tblPr/>
      <w:tcPr>
        <w:shd w:val="clear" w:color="E8EFDF" w:themeColor="accent5" w:themeTint="34" w:fill="E8EFDF" w:themeFill="accent5" w:themeFillTint="34"/>
      </w:tcPr>
    </w:tblStylePr>
    <w:tblStylePr w:type="band1Horz">
      <w:rPr>
        <w:rFonts w:ascii="Arial" w:hAnsi="Arial"/>
        <w:color w:val="536C36" w:themeColor="accent5" w:themeShade="95"/>
        <w:sz w:val="22"/>
      </w:rPr>
      <w:tblPr/>
      <w:tcPr>
        <w:shd w:val="clear" w:color="E8EFDF" w:themeColor="accent5" w:themeTint="34" w:fill="E8EFDF" w:themeFill="accent5" w:themeFillTint="34"/>
      </w:tcPr>
    </w:tblStylePr>
    <w:tblStylePr w:type="band2Horz">
      <w:rPr>
        <w:rFonts w:ascii="Arial" w:hAnsi="Arial"/>
        <w:color w:val="536C36"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E4ECD9" w:themeColor="accent6" w:themeTint="90"/>
        <w:right w:val="single" w:sz="4" w:space="0" w:color="E4ECD9" w:themeColor="accent6" w:themeTint="90"/>
        <w:insideH w:val="single" w:sz="4" w:space="0" w:color="E4ECD9" w:themeColor="accent6" w:themeTint="90"/>
        <w:insideV w:val="single" w:sz="4" w:space="0" w:color="E4ECD9" w:themeColor="accent6" w:themeTint="90"/>
      </w:tblBorders>
    </w:tblPr>
    <w:tblStylePr w:type="firstRow">
      <w:rPr>
        <w:rFonts w:ascii="Arial" w:hAnsi="Arial"/>
        <w:b/>
        <w:color w:val="80A050" w:themeColor="accent6" w:themeShade="95"/>
        <w:sz w:val="22"/>
      </w:rPr>
      <w:tblPr/>
      <w:tcPr>
        <w:tcBorders>
          <w:top w:val="none" w:sz="0" w:space="0" w:color="auto"/>
          <w:left w:val="none" w:sz="0" w:space="0" w:color="auto"/>
          <w:bottom w:val="single" w:sz="4" w:space="0" w:color="E4ECD9" w:themeColor="accent6" w:themeTint="90"/>
          <w:right w:val="none" w:sz="0" w:space="0" w:color="auto"/>
        </w:tcBorders>
        <w:shd w:val="clear" w:color="000000" w:themeColor="light1" w:fill="000000" w:themeFill="light1"/>
      </w:tcPr>
    </w:tblStylePr>
    <w:tblStylePr w:type="lastRow">
      <w:rPr>
        <w:rFonts w:ascii="Arial" w:hAnsi="Arial"/>
        <w:b/>
        <w:color w:val="80A050" w:themeColor="accent6" w:themeShade="95"/>
        <w:sz w:val="22"/>
      </w:rPr>
      <w:tblPr/>
      <w:tcPr>
        <w:tcBorders>
          <w:top w:val="single" w:sz="4" w:space="0" w:color="E4ECD9" w:themeColor="accent6" w:themeTint="90"/>
          <w:left w:val="none" w:sz="0" w:space="0" w:color="auto"/>
          <w:bottom w:val="none" w:sz="0" w:space="0" w:color="auto"/>
          <w:right w:val="none" w:sz="0" w:space="0" w:color="auto"/>
        </w:tcBorders>
        <w:shd w:val="clear" w:color="000000" w:themeColor="light1" w:fill="000000" w:themeFill="light1"/>
      </w:tcPr>
    </w:tblStylePr>
    <w:tblStylePr w:type="firstCol">
      <w:pPr>
        <w:jc w:val="right"/>
      </w:pPr>
      <w:rPr>
        <w:rFonts w:ascii="Arial" w:hAnsi="Arial"/>
        <w:i/>
        <w:color w:val="80A050" w:themeColor="accent6" w:themeShade="95"/>
        <w:sz w:val="22"/>
      </w:rPr>
      <w:tblPr/>
      <w:tcPr>
        <w:tcBorders>
          <w:top w:val="none" w:sz="0" w:space="0" w:color="auto"/>
          <w:left w:val="none" w:sz="0" w:space="0" w:color="auto"/>
          <w:bottom w:val="none" w:sz="0" w:space="0" w:color="auto"/>
          <w:right w:val="single" w:sz="4" w:space="0" w:color="E4ECD9" w:themeColor="accent6" w:themeTint="90"/>
        </w:tcBorders>
        <w:shd w:val="clear" w:color="FFFFFF" w:fill="auto"/>
      </w:tcPr>
    </w:tblStylePr>
    <w:tblStylePr w:type="lastCol">
      <w:rPr>
        <w:rFonts w:ascii="Arial" w:hAnsi="Arial"/>
        <w:i/>
        <w:color w:val="80A050" w:themeColor="accent6" w:themeShade="95"/>
        <w:sz w:val="22"/>
      </w:rPr>
      <w:tblPr/>
      <w:tcPr>
        <w:tcBorders>
          <w:top w:val="none" w:sz="0" w:space="0" w:color="auto"/>
          <w:left w:val="single" w:sz="4" w:space="0" w:color="E4ECD9" w:themeColor="accent6" w:themeTint="90"/>
          <w:bottom w:val="none" w:sz="0" w:space="0" w:color="auto"/>
          <w:right w:val="none" w:sz="0" w:space="0" w:color="auto"/>
        </w:tcBorders>
        <w:shd w:val="clear" w:color="FFFFFF" w:fill="auto"/>
      </w:tcPr>
    </w:tblStylePr>
    <w:tblStylePr w:type="band1Vert">
      <w:tblPr/>
      <w:tcPr>
        <w:shd w:val="clear" w:color="F5F8F1" w:themeColor="accent6" w:themeTint="34" w:fill="F5F8F1" w:themeFill="accent6" w:themeFillTint="34"/>
      </w:tcPr>
    </w:tblStylePr>
    <w:tblStylePr w:type="band1Horz">
      <w:rPr>
        <w:rFonts w:ascii="Arial" w:hAnsi="Arial"/>
        <w:color w:val="80A050" w:themeColor="accent6" w:themeShade="95"/>
        <w:sz w:val="22"/>
      </w:rPr>
      <w:tblPr/>
      <w:tcPr>
        <w:shd w:val="clear" w:color="F5F8F1" w:themeColor="accent6" w:themeTint="34" w:fill="F5F8F1" w:themeFill="accent6" w:themeFillTint="34"/>
      </w:tcPr>
    </w:tblStylePr>
    <w:tblStylePr w:type="band2Horz">
      <w:rPr>
        <w:rFonts w:ascii="Arial" w:hAnsi="Arial"/>
        <w:color w:val="80A050"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605C5B" w:themeColor="text1"/>
          <w:right w:val="none" w:sz="4" w:space="0" w:color="000000"/>
        </w:tcBorders>
      </w:tcPr>
    </w:tblStylePr>
    <w:tblStylePr w:type="lastRow">
      <w:rPr>
        <w:b/>
        <w:color w:val="404040"/>
      </w:rPr>
      <w:tblPr/>
      <w:tcPr>
        <w:tcBorders>
          <w:top w:val="single" w:sz="4" w:space="0" w:color="605C5B"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7D5D5" w:themeColor="text1" w:themeTint="40" w:fill="D7D5D5" w:themeFill="text1" w:themeFillTint="40"/>
      </w:tcPr>
    </w:tblStylePr>
    <w:tblStylePr w:type="band1Horz">
      <w:tblPr/>
      <w:tcPr>
        <w:shd w:val="clear" w:color="D7D5D5" w:themeColor="text1" w:themeTint="40" w:fill="D7D5D5"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3C345" w:themeColor="accent1"/>
          <w:right w:val="none" w:sz="4" w:space="0" w:color="000000"/>
        </w:tcBorders>
      </w:tcPr>
    </w:tblStylePr>
    <w:tblStylePr w:type="lastRow">
      <w:rPr>
        <w:b/>
        <w:color w:val="404040"/>
      </w:rPr>
      <w:tblPr/>
      <w:tcPr>
        <w:tcBorders>
          <w:top w:val="single" w:sz="4" w:space="0" w:color="F3C34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CEFD0" w:themeColor="accent1" w:themeTint="40" w:fill="FCEFD0" w:themeFill="accent1" w:themeFillTint="40"/>
      </w:tcPr>
    </w:tblStylePr>
    <w:tblStylePr w:type="band1Horz">
      <w:tblPr/>
      <w:tcPr>
        <w:shd w:val="clear" w:color="FCEFD0" w:themeColor="accent1" w:themeTint="40" w:fill="FCEFD0"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D586" w:themeColor="accent2"/>
          <w:right w:val="none" w:sz="4" w:space="0" w:color="000000"/>
        </w:tcBorders>
      </w:tcPr>
    </w:tblStylePr>
    <w:tblStylePr w:type="lastRow">
      <w:rPr>
        <w:b/>
        <w:color w:val="404040"/>
      </w:rPr>
      <w:tblPr/>
      <w:tcPr>
        <w:tcBorders>
          <w:top w:val="single" w:sz="4" w:space="0" w:color="F7D586"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F4E0" w:themeColor="accent2" w:themeTint="40" w:fill="FDF4E0" w:themeFill="accent2" w:themeFillTint="40"/>
      </w:tcPr>
    </w:tblStylePr>
    <w:tblStylePr w:type="band1Horz">
      <w:tblPr/>
      <w:tcPr>
        <w:shd w:val="clear" w:color="FDF4E0" w:themeColor="accent2" w:themeTint="40" w:fill="FDF4E0"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F0D5" w:themeColor="accent3"/>
          <w:right w:val="none" w:sz="4" w:space="0" w:color="000000"/>
        </w:tcBorders>
      </w:tcPr>
    </w:tblStylePr>
    <w:tblStylePr w:type="lastRow">
      <w:rPr>
        <w:b/>
        <w:color w:val="404040"/>
      </w:rPr>
      <w:tblPr/>
      <w:tcPr>
        <w:tcBorders>
          <w:top w:val="single" w:sz="4" w:space="0" w:color="FFF0D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BF4" w:themeColor="accent3" w:themeTint="40" w:fill="FFFBF4" w:themeFill="accent3" w:themeFillTint="40"/>
      </w:tcPr>
    </w:tblStylePr>
    <w:tblStylePr w:type="band1Horz">
      <w:tblPr/>
      <w:tcPr>
        <w:shd w:val="clear" w:color="FFFBF4" w:themeColor="accent3" w:themeTint="40" w:fill="FFFBF4"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49626" w:themeColor="accent4"/>
          <w:right w:val="none" w:sz="4" w:space="0" w:color="000000"/>
        </w:tcBorders>
      </w:tcPr>
    </w:tblStylePr>
    <w:tblStylePr w:type="lastRow">
      <w:rPr>
        <w:b/>
        <w:color w:val="404040"/>
      </w:rPr>
      <w:tblPr/>
      <w:tcPr>
        <w:tcBorders>
          <w:top w:val="single" w:sz="4" w:space="0" w:color="549626"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EEBE" w:themeColor="accent4" w:themeTint="40" w:fill="D2EEBE" w:themeFill="accent4" w:themeFillTint="40"/>
      </w:tcPr>
    </w:tblStylePr>
    <w:tblStylePr w:type="band1Horz">
      <w:tblPr/>
      <w:tcPr>
        <w:shd w:val="clear" w:color="D2EEBE" w:themeColor="accent4" w:themeTint="40" w:fill="D2EEBE"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FB264" w:themeColor="accent5"/>
          <w:right w:val="none" w:sz="4" w:space="0" w:color="000000"/>
        </w:tcBorders>
      </w:tcPr>
    </w:tblStylePr>
    <w:tblStylePr w:type="lastRow">
      <w:rPr>
        <w:b/>
        <w:color w:val="404040"/>
      </w:rPr>
      <w:tblPr/>
      <w:tcPr>
        <w:tcBorders>
          <w:top w:val="single" w:sz="4" w:space="0" w:color="8FB26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2EBD8" w:themeColor="accent5" w:themeTint="40" w:fill="E2EBD8" w:themeFill="accent5" w:themeFillTint="40"/>
      </w:tcPr>
    </w:tblStylePr>
    <w:tblStylePr w:type="band1Horz">
      <w:tblPr/>
      <w:tcPr>
        <w:shd w:val="clear" w:color="E2EBD8" w:themeColor="accent5" w:themeTint="40" w:fill="E2EBD8"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D1DEBD" w:themeColor="accent6"/>
          <w:right w:val="none" w:sz="4" w:space="0" w:color="000000"/>
        </w:tcBorders>
      </w:tcPr>
    </w:tblStylePr>
    <w:tblStylePr w:type="lastRow">
      <w:rPr>
        <w:b/>
        <w:color w:val="404040"/>
      </w:rPr>
      <w:tblPr/>
      <w:tcPr>
        <w:tcBorders>
          <w:top w:val="single" w:sz="4" w:space="0" w:color="D1DEBD"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3F6EE" w:themeColor="accent6" w:themeTint="40" w:fill="F3F6EE" w:themeFill="accent6" w:themeFillTint="40"/>
      </w:tcPr>
    </w:tblStylePr>
    <w:tblStylePr w:type="band1Horz">
      <w:tblPr/>
      <w:tcPr>
        <w:shd w:val="clear" w:color="F3F6EE" w:themeColor="accent6" w:themeTint="40" w:fill="F3F6EE"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A6A2A1" w:themeColor="text1" w:themeTint="90"/>
        <w:bottom w:val="single" w:sz="4" w:space="0" w:color="A6A2A1" w:themeColor="text1" w:themeTint="90"/>
        <w:insideH w:val="single" w:sz="4" w:space="0" w:color="A6A2A1" w:themeColor="text1" w:themeTint="90"/>
      </w:tblBorders>
    </w:tblPr>
    <w:tblStylePr w:type="firstRow">
      <w:rPr>
        <w:rFonts w:ascii="Arial" w:hAnsi="Arial"/>
        <w:b/>
        <w:color w:val="404040"/>
        <w:sz w:val="22"/>
      </w:rPr>
      <w:tblPr/>
      <w:tcPr>
        <w:tcBorders>
          <w:top w:val="single" w:sz="4" w:space="0" w:color="A6A2A1" w:themeColor="text1" w:themeTint="90"/>
          <w:left w:val="none" w:sz="4" w:space="0" w:color="000000"/>
          <w:bottom w:val="single" w:sz="4" w:space="0" w:color="A6A2A1" w:themeColor="text1" w:themeTint="90"/>
          <w:right w:val="none" w:sz="4" w:space="0" w:color="000000"/>
        </w:tcBorders>
      </w:tcPr>
    </w:tblStylePr>
    <w:tblStylePr w:type="lastRow">
      <w:rPr>
        <w:rFonts w:ascii="Arial" w:hAnsi="Arial"/>
        <w:b/>
        <w:color w:val="404040"/>
        <w:sz w:val="22"/>
      </w:rPr>
      <w:tblPr/>
      <w:tcPr>
        <w:tcBorders>
          <w:top w:val="single" w:sz="4" w:space="0" w:color="A6A2A1" w:themeColor="text1" w:themeTint="90"/>
          <w:left w:val="none" w:sz="4" w:space="0" w:color="000000"/>
          <w:bottom w:val="single" w:sz="4" w:space="0" w:color="A6A2A1"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7D5D5" w:themeColor="text1" w:themeTint="40" w:fill="D7D5D5" w:themeFill="text1" w:themeFillTint="40"/>
      </w:tcPr>
    </w:tblStylePr>
    <w:tblStylePr w:type="band1Horz">
      <w:rPr>
        <w:rFonts w:ascii="Arial" w:hAnsi="Arial"/>
        <w:color w:val="404040"/>
        <w:sz w:val="22"/>
      </w:rPr>
      <w:tblPr/>
      <w:tcPr>
        <w:shd w:val="clear" w:color="D7D5D5" w:themeColor="text1" w:themeTint="40" w:fill="D7D5D5"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F8DC95" w:themeColor="accent1" w:themeTint="90"/>
        <w:bottom w:val="single" w:sz="4" w:space="0" w:color="F8DC95" w:themeColor="accent1" w:themeTint="90"/>
        <w:insideH w:val="single" w:sz="4" w:space="0" w:color="F8DC95" w:themeColor="accent1" w:themeTint="90"/>
      </w:tblBorders>
    </w:tblPr>
    <w:tblStylePr w:type="firstRow">
      <w:rPr>
        <w:rFonts w:ascii="Arial" w:hAnsi="Arial"/>
        <w:b/>
        <w:color w:val="404040"/>
        <w:sz w:val="22"/>
      </w:rPr>
      <w:tblPr/>
      <w:tcPr>
        <w:tcBorders>
          <w:top w:val="single" w:sz="4" w:space="0" w:color="F8DC95" w:themeColor="accent1" w:themeTint="90"/>
          <w:left w:val="none" w:sz="4" w:space="0" w:color="000000"/>
          <w:bottom w:val="single" w:sz="4" w:space="0" w:color="F8DC95" w:themeColor="accent1" w:themeTint="90"/>
          <w:right w:val="none" w:sz="4" w:space="0" w:color="000000"/>
        </w:tcBorders>
      </w:tcPr>
    </w:tblStylePr>
    <w:tblStylePr w:type="lastRow">
      <w:rPr>
        <w:rFonts w:ascii="Arial" w:hAnsi="Arial"/>
        <w:b/>
        <w:color w:val="404040"/>
        <w:sz w:val="22"/>
      </w:rPr>
      <w:tblPr/>
      <w:tcPr>
        <w:tcBorders>
          <w:top w:val="single" w:sz="4" w:space="0" w:color="F8DC95" w:themeColor="accent1" w:themeTint="90"/>
          <w:left w:val="none" w:sz="4" w:space="0" w:color="000000"/>
          <w:bottom w:val="single" w:sz="4" w:space="0" w:color="F8DC95"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CEFD0" w:themeColor="accent1" w:themeTint="40" w:fill="FCEFD0" w:themeFill="accent1" w:themeFillTint="40"/>
      </w:tcPr>
    </w:tblStylePr>
    <w:tblStylePr w:type="band1Horz">
      <w:rPr>
        <w:rFonts w:ascii="Arial" w:hAnsi="Arial"/>
        <w:color w:val="404040"/>
        <w:sz w:val="22"/>
      </w:rPr>
      <w:tblPr/>
      <w:tcPr>
        <w:shd w:val="clear" w:color="FCEFD0" w:themeColor="accent1" w:themeTint="40" w:fill="FCEFD0"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AE7BA" w:themeColor="accent2" w:themeTint="90"/>
        <w:bottom w:val="single" w:sz="4" w:space="0" w:color="FAE7BA" w:themeColor="accent2" w:themeTint="90"/>
        <w:insideH w:val="single" w:sz="4" w:space="0" w:color="FAE7BA" w:themeColor="accent2" w:themeTint="90"/>
      </w:tblBorders>
    </w:tblPr>
    <w:tblStylePr w:type="firstRow">
      <w:rPr>
        <w:rFonts w:ascii="Arial" w:hAnsi="Arial"/>
        <w:b/>
        <w:color w:val="404040"/>
        <w:sz w:val="22"/>
      </w:rPr>
      <w:tblPr/>
      <w:tcPr>
        <w:tcBorders>
          <w:top w:val="single" w:sz="4" w:space="0" w:color="FAE7BA" w:themeColor="accent2" w:themeTint="90"/>
          <w:left w:val="none" w:sz="4" w:space="0" w:color="000000"/>
          <w:bottom w:val="single" w:sz="4" w:space="0" w:color="FAE7BA" w:themeColor="accent2" w:themeTint="90"/>
          <w:right w:val="none" w:sz="4" w:space="0" w:color="000000"/>
        </w:tcBorders>
      </w:tcPr>
    </w:tblStylePr>
    <w:tblStylePr w:type="lastRow">
      <w:rPr>
        <w:rFonts w:ascii="Arial" w:hAnsi="Arial"/>
        <w:b/>
        <w:color w:val="404040"/>
        <w:sz w:val="22"/>
      </w:rPr>
      <w:tblPr/>
      <w:tcPr>
        <w:tcBorders>
          <w:top w:val="single" w:sz="4" w:space="0" w:color="FAE7BA" w:themeColor="accent2" w:themeTint="90"/>
          <w:left w:val="none" w:sz="4" w:space="0" w:color="000000"/>
          <w:bottom w:val="single" w:sz="4" w:space="0" w:color="FAE7B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F4E0" w:themeColor="accent2" w:themeTint="40" w:fill="FDF4E0" w:themeFill="accent2" w:themeFillTint="40"/>
      </w:tcPr>
    </w:tblStylePr>
    <w:tblStylePr w:type="band1Horz">
      <w:rPr>
        <w:rFonts w:ascii="Arial" w:hAnsi="Arial"/>
        <w:color w:val="404040"/>
        <w:sz w:val="22"/>
      </w:rPr>
      <w:tblPr/>
      <w:tcPr>
        <w:shd w:val="clear" w:color="FDF4E0" w:themeColor="accent2" w:themeTint="40" w:fill="FDF4E0"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FFF6E7" w:themeColor="accent3" w:themeTint="90"/>
        <w:bottom w:val="single" w:sz="4" w:space="0" w:color="FFF6E7" w:themeColor="accent3" w:themeTint="90"/>
        <w:insideH w:val="single" w:sz="4" w:space="0" w:color="FFF6E7" w:themeColor="accent3" w:themeTint="90"/>
      </w:tblBorders>
    </w:tblPr>
    <w:tblStylePr w:type="firstRow">
      <w:rPr>
        <w:rFonts w:ascii="Arial" w:hAnsi="Arial"/>
        <w:b/>
        <w:color w:val="404040"/>
        <w:sz w:val="22"/>
      </w:rPr>
      <w:tblPr/>
      <w:tcPr>
        <w:tcBorders>
          <w:top w:val="single" w:sz="4" w:space="0" w:color="FFF6E7" w:themeColor="accent3" w:themeTint="90"/>
          <w:left w:val="none" w:sz="4" w:space="0" w:color="000000"/>
          <w:bottom w:val="single" w:sz="4" w:space="0" w:color="FFF6E7" w:themeColor="accent3" w:themeTint="90"/>
          <w:right w:val="none" w:sz="4" w:space="0" w:color="000000"/>
        </w:tcBorders>
      </w:tcPr>
    </w:tblStylePr>
    <w:tblStylePr w:type="lastRow">
      <w:rPr>
        <w:rFonts w:ascii="Arial" w:hAnsi="Arial"/>
        <w:b/>
        <w:color w:val="404040"/>
        <w:sz w:val="22"/>
      </w:rPr>
      <w:tblPr/>
      <w:tcPr>
        <w:tcBorders>
          <w:top w:val="single" w:sz="4" w:space="0" w:color="FFF6E7" w:themeColor="accent3" w:themeTint="90"/>
          <w:left w:val="none" w:sz="4" w:space="0" w:color="000000"/>
          <w:bottom w:val="single" w:sz="4" w:space="0" w:color="FFF6E7"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BF4" w:themeColor="accent3" w:themeTint="40" w:fill="FFFBF4" w:themeFill="accent3" w:themeFillTint="40"/>
      </w:tcPr>
    </w:tblStylePr>
    <w:tblStylePr w:type="band1Horz">
      <w:rPr>
        <w:rFonts w:ascii="Arial" w:hAnsi="Arial"/>
        <w:color w:val="404040"/>
        <w:sz w:val="22"/>
      </w:rPr>
      <w:tblPr/>
      <w:tcPr>
        <w:shd w:val="clear" w:color="FFFBF4" w:themeColor="accent3" w:themeTint="40" w:fill="FFFBF4"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99DA6D" w:themeColor="accent4" w:themeTint="90"/>
        <w:bottom w:val="single" w:sz="4" w:space="0" w:color="99DA6D" w:themeColor="accent4" w:themeTint="90"/>
        <w:insideH w:val="single" w:sz="4" w:space="0" w:color="99DA6D" w:themeColor="accent4" w:themeTint="90"/>
      </w:tblBorders>
    </w:tblPr>
    <w:tblStylePr w:type="firstRow">
      <w:rPr>
        <w:rFonts w:ascii="Arial" w:hAnsi="Arial"/>
        <w:b/>
        <w:color w:val="404040"/>
        <w:sz w:val="22"/>
      </w:rPr>
      <w:tblPr/>
      <w:tcPr>
        <w:tcBorders>
          <w:top w:val="single" w:sz="4" w:space="0" w:color="99DA6D" w:themeColor="accent4" w:themeTint="90"/>
          <w:left w:val="none" w:sz="4" w:space="0" w:color="000000"/>
          <w:bottom w:val="single" w:sz="4" w:space="0" w:color="99DA6D" w:themeColor="accent4" w:themeTint="90"/>
          <w:right w:val="none" w:sz="4" w:space="0" w:color="000000"/>
        </w:tcBorders>
      </w:tcPr>
    </w:tblStylePr>
    <w:tblStylePr w:type="lastRow">
      <w:rPr>
        <w:rFonts w:ascii="Arial" w:hAnsi="Arial"/>
        <w:b/>
        <w:color w:val="404040"/>
        <w:sz w:val="22"/>
      </w:rPr>
      <w:tblPr/>
      <w:tcPr>
        <w:tcBorders>
          <w:top w:val="single" w:sz="4" w:space="0" w:color="99DA6D" w:themeColor="accent4" w:themeTint="90"/>
          <w:left w:val="none" w:sz="4" w:space="0" w:color="000000"/>
          <w:bottom w:val="single" w:sz="4" w:space="0" w:color="99DA6D"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EEBE" w:themeColor="accent4" w:themeTint="40" w:fill="D2EEBE" w:themeFill="accent4" w:themeFillTint="40"/>
      </w:tcPr>
    </w:tblStylePr>
    <w:tblStylePr w:type="band1Horz">
      <w:rPr>
        <w:rFonts w:ascii="Arial" w:hAnsi="Arial"/>
        <w:color w:val="404040"/>
        <w:sz w:val="22"/>
      </w:rPr>
      <w:tblPr/>
      <w:tcPr>
        <w:shd w:val="clear" w:color="D2EEBE" w:themeColor="accent4" w:themeTint="40" w:fill="D2EEBE"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BFD3A7" w:themeColor="accent5" w:themeTint="90"/>
        <w:bottom w:val="single" w:sz="4" w:space="0" w:color="BFD3A7" w:themeColor="accent5" w:themeTint="90"/>
        <w:insideH w:val="single" w:sz="4" w:space="0" w:color="BFD3A7" w:themeColor="accent5" w:themeTint="90"/>
      </w:tblBorders>
    </w:tblPr>
    <w:tblStylePr w:type="firstRow">
      <w:rPr>
        <w:rFonts w:ascii="Arial" w:hAnsi="Arial"/>
        <w:b/>
        <w:color w:val="404040"/>
        <w:sz w:val="22"/>
      </w:rPr>
      <w:tblPr/>
      <w:tcPr>
        <w:tcBorders>
          <w:top w:val="single" w:sz="4" w:space="0" w:color="BFD3A7" w:themeColor="accent5" w:themeTint="90"/>
          <w:left w:val="none" w:sz="4" w:space="0" w:color="000000"/>
          <w:bottom w:val="single" w:sz="4" w:space="0" w:color="BFD3A7" w:themeColor="accent5" w:themeTint="90"/>
          <w:right w:val="none" w:sz="4" w:space="0" w:color="000000"/>
        </w:tcBorders>
      </w:tcPr>
    </w:tblStylePr>
    <w:tblStylePr w:type="lastRow">
      <w:rPr>
        <w:rFonts w:ascii="Arial" w:hAnsi="Arial"/>
        <w:b/>
        <w:color w:val="404040"/>
        <w:sz w:val="22"/>
      </w:rPr>
      <w:tblPr/>
      <w:tcPr>
        <w:tcBorders>
          <w:top w:val="single" w:sz="4" w:space="0" w:color="BFD3A7" w:themeColor="accent5" w:themeTint="90"/>
          <w:left w:val="none" w:sz="4" w:space="0" w:color="000000"/>
          <w:bottom w:val="single" w:sz="4" w:space="0" w:color="BFD3A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2EBD8" w:themeColor="accent5" w:themeTint="40" w:fill="E2EBD8" w:themeFill="accent5" w:themeFillTint="40"/>
      </w:tcPr>
    </w:tblStylePr>
    <w:tblStylePr w:type="band1Horz">
      <w:rPr>
        <w:rFonts w:ascii="Arial" w:hAnsi="Arial"/>
        <w:color w:val="404040"/>
        <w:sz w:val="22"/>
      </w:rPr>
      <w:tblPr/>
      <w:tcPr>
        <w:shd w:val="clear" w:color="E2EBD8" w:themeColor="accent5" w:themeTint="40" w:fill="E2EBD8"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E4ECD9" w:themeColor="accent6" w:themeTint="90"/>
        <w:bottom w:val="single" w:sz="4" w:space="0" w:color="E4ECD9" w:themeColor="accent6" w:themeTint="90"/>
        <w:insideH w:val="single" w:sz="4" w:space="0" w:color="E4ECD9" w:themeColor="accent6" w:themeTint="90"/>
      </w:tblBorders>
    </w:tblPr>
    <w:tblStylePr w:type="firstRow">
      <w:rPr>
        <w:rFonts w:ascii="Arial" w:hAnsi="Arial"/>
        <w:b/>
        <w:color w:val="404040"/>
        <w:sz w:val="22"/>
      </w:rPr>
      <w:tblPr/>
      <w:tcPr>
        <w:tcBorders>
          <w:top w:val="single" w:sz="4" w:space="0" w:color="E4ECD9" w:themeColor="accent6" w:themeTint="90"/>
          <w:left w:val="none" w:sz="4" w:space="0" w:color="000000"/>
          <w:bottom w:val="single" w:sz="4" w:space="0" w:color="E4ECD9" w:themeColor="accent6" w:themeTint="90"/>
          <w:right w:val="none" w:sz="4" w:space="0" w:color="000000"/>
        </w:tcBorders>
      </w:tcPr>
    </w:tblStylePr>
    <w:tblStylePr w:type="lastRow">
      <w:rPr>
        <w:rFonts w:ascii="Arial" w:hAnsi="Arial"/>
        <w:b/>
        <w:color w:val="404040"/>
        <w:sz w:val="22"/>
      </w:rPr>
      <w:tblPr/>
      <w:tcPr>
        <w:tcBorders>
          <w:top w:val="single" w:sz="4" w:space="0" w:color="E4ECD9" w:themeColor="accent6" w:themeTint="90"/>
          <w:left w:val="none" w:sz="4" w:space="0" w:color="000000"/>
          <w:bottom w:val="single" w:sz="4" w:space="0" w:color="E4ECD9"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3F6EE" w:themeColor="accent6" w:themeTint="40" w:fill="F3F6EE" w:themeFill="accent6" w:themeFillTint="40"/>
      </w:tcPr>
    </w:tblStylePr>
    <w:tblStylePr w:type="band1Horz">
      <w:rPr>
        <w:rFonts w:ascii="Arial" w:hAnsi="Arial"/>
        <w:color w:val="404040"/>
        <w:sz w:val="22"/>
      </w:rPr>
      <w:tblPr/>
      <w:tcPr>
        <w:shd w:val="clear" w:color="F3F6EE" w:themeColor="accent6" w:themeTint="40" w:fill="F3F6EE"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605C5B" w:themeColor="text1"/>
        <w:left w:val="single" w:sz="4" w:space="0" w:color="605C5B" w:themeColor="text1"/>
        <w:bottom w:val="single" w:sz="4" w:space="0" w:color="605C5B" w:themeColor="text1"/>
        <w:right w:val="single" w:sz="4" w:space="0" w:color="605C5B" w:themeColor="text1"/>
      </w:tblBorders>
    </w:tblPr>
    <w:tblStylePr w:type="firstRow">
      <w:rPr>
        <w:rFonts w:ascii="Arial" w:hAnsi="Arial"/>
        <w:b/>
        <w:color w:val="FFFFFF"/>
        <w:sz w:val="22"/>
      </w:rPr>
      <w:tblPr/>
      <w:tcPr>
        <w:shd w:val="clear" w:color="605C5B" w:themeColor="text1" w:fill="605C5B"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05C5B" w:themeColor="text1"/>
          <w:right w:val="single" w:sz="4" w:space="0" w:color="605C5B" w:themeColor="text1"/>
        </w:tcBorders>
      </w:tcPr>
    </w:tblStylePr>
    <w:tblStylePr w:type="band1Horz">
      <w:rPr>
        <w:rFonts w:ascii="Arial" w:hAnsi="Arial"/>
        <w:color w:val="404040"/>
        <w:sz w:val="22"/>
      </w:rPr>
      <w:tblPr/>
      <w:tcPr>
        <w:tcBorders>
          <w:top w:val="single" w:sz="4" w:space="0" w:color="605C5B" w:themeColor="text1"/>
          <w:bottom w:val="single" w:sz="4" w:space="0" w:color="605C5B"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F3C345" w:themeColor="accent1"/>
        <w:left w:val="single" w:sz="4" w:space="0" w:color="F3C345" w:themeColor="accent1"/>
        <w:bottom w:val="single" w:sz="4" w:space="0" w:color="F3C345" w:themeColor="accent1"/>
        <w:right w:val="single" w:sz="4" w:space="0" w:color="F3C345" w:themeColor="accent1"/>
      </w:tblBorders>
    </w:tblPr>
    <w:tblStylePr w:type="firstRow">
      <w:rPr>
        <w:rFonts w:ascii="Arial" w:hAnsi="Arial"/>
        <w:b/>
        <w:color w:val="FFFFFF"/>
        <w:sz w:val="22"/>
      </w:rPr>
      <w:tblPr/>
      <w:tcPr>
        <w:shd w:val="clear" w:color="F3C345" w:themeColor="accent1" w:fill="F3C34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3C345" w:themeColor="accent1"/>
          <w:right w:val="single" w:sz="4" w:space="0" w:color="F3C345" w:themeColor="accent1"/>
        </w:tcBorders>
      </w:tcPr>
    </w:tblStylePr>
    <w:tblStylePr w:type="band1Horz">
      <w:rPr>
        <w:rFonts w:ascii="Arial" w:hAnsi="Arial"/>
        <w:color w:val="404040"/>
        <w:sz w:val="22"/>
      </w:rPr>
      <w:tblPr/>
      <w:tcPr>
        <w:tcBorders>
          <w:top w:val="single" w:sz="4" w:space="0" w:color="F3C345" w:themeColor="accent1"/>
          <w:bottom w:val="single" w:sz="4" w:space="0" w:color="F3C345"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AE6B7" w:themeColor="accent2" w:themeTint="97"/>
        <w:left w:val="single" w:sz="4" w:space="0" w:color="FAE6B7" w:themeColor="accent2" w:themeTint="97"/>
        <w:bottom w:val="single" w:sz="4" w:space="0" w:color="FAE6B7" w:themeColor="accent2" w:themeTint="97"/>
        <w:right w:val="single" w:sz="4" w:space="0" w:color="FAE6B7" w:themeColor="accent2" w:themeTint="97"/>
      </w:tblBorders>
    </w:tblPr>
    <w:tblStylePr w:type="firstRow">
      <w:rPr>
        <w:rFonts w:ascii="Arial" w:hAnsi="Arial"/>
        <w:b/>
        <w:color w:val="FFFFFF"/>
        <w:sz w:val="22"/>
      </w:rPr>
      <w:tblPr/>
      <w:tcPr>
        <w:shd w:val="clear" w:color="FAE6B7" w:themeColor="accent2" w:themeTint="97" w:fill="FAE6B7"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E6B7" w:themeColor="accent2" w:themeTint="97"/>
          <w:right w:val="single" w:sz="4" w:space="0" w:color="FAE6B7" w:themeColor="accent2" w:themeTint="97"/>
        </w:tcBorders>
      </w:tcPr>
    </w:tblStylePr>
    <w:tblStylePr w:type="band1Horz">
      <w:rPr>
        <w:rFonts w:ascii="Arial" w:hAnsi="Arial"/>
        <w:color w:val="404040"/>
        <w:sz w:val="22"/>
      </w:rPr>
      <w:tblPr/>
      <w:tcPr>
        <w:tcBorders>
          <w:top w:val="single" w:sz="4" w:space="0" w:color="FAE6B7" w:themeColor="accent2" w:themeTint="97"/>
          <w:bottom w:val="single" w:sz="4" w:space="0" w:color="FAE6B7"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FFF5E5" w:themeColor="accent3" w:themeTint="98"/>
        <w:left w:val="single" w:sz="4" w:space="0" w:color="FFF5E5" w:themeColor="accent3" w:themeTint="98"/>
        <w:bottom w:val="single" w:sz="4" w:space="0" w:color="FFF5E5" w:themeColor="accent3" w:themeTint="98"/>
        <w:right w:val="single" w:sz="4" w:space="0" w:color="FFF5E5" w:themeColor="accent3" w:themeTint="98"/>
      </w:tblBorders>
    </w:tblPr>
    <w:tblStylePr w:type="firstRow">
      <w:rPr>
        <w:rFonts w:ascii="Arial" w:hAnsi="Arial"/>
        <w:b/>
        <w:color w:val="FFFFFF"/>
        <w:sz w:val="22"/>
      </w:rPr>
      <w:tblPr/>
      <w:tcPr>
        <w:shd w:val="clear" w:color="FFF5E5" w:themeColor="accent3" w:themeTint="98" w:fill="FFF5E5"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5E5" w:themeColor="accent3" w:themeTint="98"/>
          <w:right w:val="single" w:sz="4" w:space="0" w:color="FFF5E5" w:themeColor="accent3" w:themeTint="98"/>
        </w:tcBorders>
      </w:tcPr>
    </w:tblStylePr>
    <w:tblStylePr w:type="band1Horz">
      <w:rPr>
        <w:rFonts w:ascii="Arial" w:hAnsi="Arial"/>
        <w:color w:val="404040"/>
        <w:sz w:val="22"/>
      </w:rPr>
      <w:tblPr/>
      <w:tcPr>
        <w:tcBorders>
          <w:top w:val="single" w:sz="4" w:space="0" w:color="FFF5E5" w:themeColor="accent3" w:themeTint="98"/>
          <w:bottom w:val="single" w:sz="4" w:space="0" w:color="FFF5E5"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92D763" w:themeColor="accent4" w:themeTint="9A"/>
        <w:left w:val="single" w:sz="4" w:space="0" w:color="92D763" w:themeColor="accent4" w:themeTint="9A"/>
        <w:bottom w:val="single" w:sz="4" w:space="0" w:color="92D763" w:themeColor="accent4" w:themeTint="9A"/>
        <w:right w:val="single" w:sz="4" w:space="0" w:color="92D763" w:themeColor="accent4" w:themeTint="9A"/>
      </w:tblBorders>
    </w:tblPr>
    <w:tblStylePr w:type="firstRow">
      <w:rPr>
        <w:rFonts w:ascii="Arial" w:hAnsi="Arial"/>
        <w:b/>
        <w:color w:val="FFFFFF"/>
        <w:sz w:val="22"/>
      </w:rPr>
      <w:tblPr/>
      <w:tcPr>
        <w:shd w:val="clear" w:color="92D763" w:themeColor="accent4" w:themeTint="9A" w:fill="92D763"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D763" w:themeColor="accent4" w:themeTint="9A"/>
          <w:right w:val="single" w:sz="4" w:space="0" w:color="92D763" w:themeColor="accent4" w:themeTint="9A"/>
        </w:tcBorders>
      </w:tcPr>
    </w:tblStylePr>
    <w:tblStylePr w:type="band1Horz">
      <w:rPr>
        <w:rFonts w:ascii="Arial" w:hAnsi="Arial"/>
        <w:color w:val="404040"/>
        <w:sz w:val="22"/>
      </w:rPr>
      <w:tblPr/>
      <w:tcPr>
        <w:tcBorders>
          <w:top w:val="single" w:sz="4" w:space="0" w:color="92D763" w:themeColor="accent4" w:themeTint="9A"/>
          <w:bottom w:val="single" w:sz="4" w:space="0" w:color="92D763"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BBD0A1" w:themeColor="accent5" w:themeTint="9A"/>
        <w:left w:val="single" w:sz="4" w:space="0" w:color="BBD0A1" w:themeColor="accent5" w:themeTint="9A"/>
        <w:bottom w:val="single" w:sz="4" w:space="0" w:color="BBD0A1" w:themeColor="accent5" w:themeTint="9A"/>
        <w:right w:val="single" w:sz="4" w:space="0" w:color="BBD0A1" w:themeColor="accent5" w:themeTint="9A"/>
      </w:tblBorders>
    </w:tblPr>
    <w:tblStylePr w:type="firstRow">
      <w:rPr>
        <w:rFonts w:ascii="Arial" w:hAnsi="Arial"/>
        <w:b/>
        <w:color w:val="FFFFFF"/>
        <w:sz w:val="22"/>
      </w:rPr>
      <w:tblPr/>
      <w:tcPr>
        <w:shd w:val="clear" w:color="BBD0A1" w:themeColor="accent5" w:themeTint="9A" w:fill="BBD0A1"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BD0A1" w:themeColor="accent5" w:themeTint="9A"/>
          <w:right w:val="single" w:sz="4" w:space="0" w:color="BBD0A1" w:themeColor="accent5" w:themeTint="9A"/>
        </w:tcBorders>
      </w:tcPr>
    </w:tblStylePr>
    <w:tblStylePr w:type="band1Horz">
      <w:rPr>
        <w:rFonts w:ascii="Arial" w:hAnsi="Arial"/>
        <w:color w:val="404040"/>
        <w:sz w:val="22"/>
      </w:rPr>
      <w:tblPr/>
      <w:tcPr>
        <w:tcBorders>
          <w:top w:val="single" w:sz="4" w:space="0" w:color="BBD0A1" w:themeColor="accent5" w:themeTint="9A"/>
          <w:bottom w:val="single" w:sz="4" w:space="0" w:color="BBD0A1"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E3EBD7" w:themeColor="accent6" w:themeTint="98"/>
        <w:left w:val="single" w:sz="4" w:space="0" w:color="E3EBD7" w:themeColor="accent6" w:themeTint="98"/>
        <w:bottom w:val="single" w:sz="4" w:space="0" w:color="E3EBD7" w:themeColor="accent6" w:themeTint="98"/>
        <w:right w:val="single" w:sz="4" w:space="0" w:color="E3EBD7" w:themeColor="accent6" w:themeTint="98"/>
      </w:tblBorders>
    </w:tblPr>
    <w:tblStylePr w:type="firstRow">
      <w:rPr>
        <w:rFonts w:ascii="Arial" w:hAnsi="Arial"/>
        <w:b/>
        <w:color w:val="FFFFFF"/>
        <w:sz w:val="22"/>
      </w:rPr>
      <w:tblPr/>
      <w:tcPr>
        <w:shd w:val="clear" w:color="E3EBD7" w:themeColor="accent6" w:themeTint="98" w:fill="E3EBD7"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3EBD7" w:themeColor="accent6" w:themeTint="98"/>
          <w:right w:val="single" w:sz="4" w:space="0" w:color="E3EBD7" w:themeColor="accent6" w:themeTint="98"/>
        </w:tcBorders>
      </w:tcPr>
    </w:tblStylePr>
    <w:tblStylePr w:type="band1Horz">
      <w:rPr>
        <w:rFonts w:ascii="Arial" w:hAnsi="Arial"/>
        <w:color w:val="404040"/>
        <w:sz w:val="22"/>
      </w:rPr>
      <w:tblPr/>
      <w:tcPr>
        <w:tcBorders>
          <w:top w:val="single" w:sz="4" w:space="0" w:color="E3EBD7" w:themeColor="accent6" w:themeTint="98"/>
          <w:bottom w:val="single" w:sz="4" w:space="0" w:color="E3EBD7"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605C5B" w:themeColor="text1"/>
        <w:left w:val="single" w:sz="4" w:space="0" w:color="605C5B" w:themeColor="text1"/>
        <w:bottom w:val="single" w:sz="4" w:space="0" w:color="605C5B" w:themeColor="text1"/>
        <w:right w:val="single" w:sz="4" w:space="0" w:color="605C5B" w:themeColor="text1"/>
        <w:insideH w:val="single" w:sz="4" w:space="0" w:color="605C5B" w:themeColor="text1"/>
      </w:tblBorders>
    </w:tblPr>
    <w:tblStylePr w:type="firstRow">
      <w:rPr>
        <w:rFonts w:ascii="Arial" w:hAnsi="Arial"/>
        <w:b/>
        <w:color w:val="FFFFFF"/>
        <w:sz w:val="22"/>
      </w:rPr>
      <w:tblPr/>
      <w:tcPr>
        <w:shd w:val="clear" w:color="605C5B" w:themeColor="text1" w:fill="605C5B"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7D5D5" w:themeColor="text1" w:themeTint="40" w:fill="D7D5D5" w:themeFill="text1" w:themeFillTint="40"/>
      </w:tcPr>
    </w:tblStylePr>
    <w:tblStylePr w:type="band1Horz">
      <w:rPr>
        <w:rFonts w:ascii="Arial" w:hAnsi="Arial"/>
        <w:color w:val="404040"/>
        <w:sz w:val="22"/>
      </w:rPr>
      <w:tblPr/>
      <w:tcPr>
        <w:shd w:val="clear" w:color="D7D5D5" w:themeColor="text1" w:themeTint="40" w:fill="D7D5D5"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F8DC95" w:themeColor="accent1" w:themeTint="90"/>
        <w:left w:val="single" w:sz="4" w:space="0" w:color="F8DC95" w:themeColor="accent1" w:themeTint="90"/>
        <w:bottom w:val="single" w:sz="4" w:space="0" w:color="F8DC95" w:themeColor="accent1" w:themeTint="90"/>
        <w:right w:val="single" w:sz="4" w:space="0" w:color="F8DC95" w:themeColor="accent1" w:themeTint="90"/>
        <w:insideH w:val="single" w:sz="4" w:space="0" w:color="F8DC95" w:themeColor="accent1" w:themeTint="90"/>
      </w:tblBorders>
    </w:tblPr>
    <w:tblStylePr w:type="firstRow">
      <w:rPr>
        <w:rFonts w:ascii="Arial" w:hAnsi="Arial"/>
        <w:b/>
        <w:color w:val="FFFFFF"/>
        <w:sz w:val="22"/>
      </w:rPr>
      <w:tblPr/>
      <w:tcPr>
        <w:shd w:val="clear" w:color="F3C345" w:themeColor="accent1" w:fill="F3C34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CEFD0" w:themeColor="accent1" w:themeTint="40" w:fill="FCEFD0" w:themeFill="accent1" w:themeFillTint="40"/>
      </w:tcPr>
    </w:tblStylePr>
    <w:tblStylePr w:type="band1Horz">
      <w:rPr>
        <w:rFonts w:ascii="Arial" w:hAnsi="Arial"/>
        <w:color w:val="404040"/>
        <w:sz w:val="22"/>
      </w:rPr>
      <w:tblPr/>
      <w:tcPr>
        <w:shd w:val="clear" w:color="FCEFD0" w:themeColor="accent1" w:themeTint="40" w:fill="FCEFD0"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AE7BA" w:themeColor="accent2" w:themeTint="90"/>
        <w:left w:val="single" w:sz="4" w:space="0" w:color="FAE7BA" w:themeColor="accent2" w:themeTint="90"/>
        <w:bottom w:val="single" w:sz="4" w:space="0" w:color="FAE7BA" w:themeColor="accent2" w:themeTint="90"/>
        <w:right w:val="single" w:sz="4" w:space="0" w:color="FAE7BA" w:themeColor="accent2" w:themeTint="90"/>
        <w:insideH w:val="single" w:sz="4" w:space="0" w:color="FAE7BA" w:themeColor="accent2" w:themeTint="90"/>
      </w:tblBorders>
    </w:tblPr>
    <w:tblStylePr w:type="firstRow">
      <w:rPr>
        <w:rFonts w:ascii="Arial" w:hAnsi="Arial"/>
        <w:b/>
        <w:color w:val="FFFFFF"/>
        <w:sz w:val="22"/>
      </w:rPr>
      <w:tblPr/>
      <w:tcPr>
        <w:shd w:val="clear" w:color="F7D586" w:themeColor="accent2" w:fill="F7D586"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F4E0" w:themeColor="accent2" w:themeTint="40" w:fill="FDF4E0" w:themeFill="accent2" w:themeFillTint="40"/>
      </w:tcPr>
    </w:tblStylePr>
    <w:tblStylePr w:type="band1Horz">
      <w:rPr>
        <w:rFonts w:ascii="Arial" w:hAnsi="Arial"/>
        <w:color w:val="404040"/>
        <w:sz w:val="22"/>
      </w:rPr>
      <w:tblPr/>
      <w:tcPr>
        <w:shd w:val="clear" w:color="FDF4E0" w:themeColor="accent2" w:themeTint="40" w:fill="FDF4E0"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FFF6E7" w:themeColor="accent3" w:themeTint="90"/>
        <w:left w:val="single" w:sz="4" w:space="0" w:color="FFF6E7" w:themeColor="accent3" w:themeTint="90"/>
        <w:bottom w:val="single" w:sz="4" w:space="0" w:color="FFF6E7" w:themeColor="accent3" w:themeTint="90"/>
        <w:right w:val="single" w:sz="4" w:space="0" w:color="FFF6E7" w:themeColor="accent3" w:themeTint="90"/>
        <w:insideH w:val="single" w:sz="4" w:space="0" w:color="FFF6E7" w:themeColor="accent3" w:themeTint="90"/>
      </w:tblBorders>
    </w:tblPr>
    <w:tblStylePr w:type="firstRow">
      <w:rPr>
        <w:rFonts w:ascii="Arial" w:hAnsi="Arial"/>
        <w:b/>
        <w:color w:val="FFFFFF"/>
        <w:sz w:val="22"/>
      </w:rPr>
      <w:tblPr/>
      <w:tcPr>
        <w:shd w:val="clear" w:color="FFF0D5" w:themeColor="accent3" w:fill="FFF0D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BF4" w:themeColor="accent3" w:themeTint="40" w:fill="FFFBF4" w:themeFill="accent3" w:themeFillTint="40"/>
      </w:tcPr>
    </w:tblStylePr>
    <w:tblStylePr w:type="band1Horz">
      <w:rPr>
        <w:rFonts w:ascii="Arial" w:hAnsi="Arial"/>
        <w:color w:val="404040"/>
        <w:sz w:val="22"/>
      </w:rPr>
      <w:tblPr/>
      <w:tcPr>
        <w:shd w:val="clear" w:color="FFFBF4" w:themeColor="accent3" w:themeTint="40" w:fill="FFFBF4"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99DA6D" w:themeColor="accent4" w:themeTint="90"/>
        <w:left w:val="single" w:sz="4" w:space="0" w:color="99DA6D" w:themeColor="accent4" w:themeTint="90"/>
        <w:bottom w:val="single" w:sz="4" w:space="0" w:color="99DA6D" w:themeColor="accent4" w:themeTint="90"/>
        <w:right w:val="single" w:sz="4" w:space="0" w:color="99DA6D" w:themeColor="accent4" w:themeTint="90"/>
        <w:insideH w:val="single" w:sz="4" w:space="0" w:color="99DA6D" w:themeColor="accent4" w:themeTint="90"/>
      </w:tblBorders>
    </w:tblPr>
    <w:tblStylePr w:type="firstRow">
      <w:rPr>
        <w:rFonts w:ascii="Arial" w:hAnsi="Arial"/>
        <w:b/>
        <w:color w:val="FFFFFF"/>
        <w:sz w:val="22"/>
      </w:rPr>
      <w:tblPr/>
      <w:tcPr>
        <w:shd w:val="clear" w:color="549626" w:themeColor="accent4" w:fill="549626"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EEBE" w:themeColor="accent4" w:themeTint="40" w:fill="D2EEBE" w:themeFill="accent4" w:themeFillTint="40"/>
      </w:tcPr>
    </w:tblStylePr>
    <w:tblStylePr w:type="band1Horz">
      <w:rPr>
        <w:rFonts w:ascii="Arial" w:hAnsi="Arial"/>
        <w:color w:val="404040"/>
        <w:sz w:val="22"/>
      </w:rPr>
      <w:tblPr/>
      <w:tcPr>
        <w:shd w:val="clear" w:color="D2EEBE" w:themeColor="accent4" w:themeTint="40" w:fill="D2EEBE"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BFD3A7" w:themeColor="accent5" w:themeTint="90"/>
        <w:left w:val="single" w:sz="4" w:space="0" w:color="BFD3A7" w:themeColor="accent5" w:themeTint="90"/>
        <w:bottom w:val="single" w:sz="4" w:space="0" w:color="BFD3A7" w:themeColor="accent5" w:themeTint="90"/>
        <w:right w:val="single" w:sz="4" w:space="0" w:color="BFD3A7" w:themeColor="accent5" w:themeTint="90"/>
        <w:insideH w:val="single" w:sz="4" w:space="0" w:color="BFD3A7" w:themeColor="accent5" w:themeTint="90"/>
      </w:tblBorders>
    </w:tblPr>
    <w:tblStylePr w:type="firstRow">
      <w:rPr>
        <w:rFonts w:ascii="Arial" w:hAnsi="Arial"/>
        <w:b/>
        <w:color w:val="FFFFFF"/>
        <w:sz w:val="22"/>
      </w:rPr>
      <w:tblPr/>
      <w:tcPr>
        <w:shd w:val="clear" w:color="8FB264" w:themeColor="accent5" w:fill="8FB26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2EBD8" w:themeColor="accent5" w:themeTint="40" w:fill="E2EBD8" w:themeFill="accent5" w:themeFillTint="40"/>
      </w:tcPr>
    </w:tblStylePr>
    <w:tblStylePr w:type="band1Horz">
      <w:rPr>
        <w:rFonts w:ascii="Arial" w:hAnsi="Arial"/>
        <w:color w:val="404040"/>
        <w:sz w:val="22"/>
      </w:rPr>
      <w:tblPr/>
      <w:tcPr>
        <w:shd w:val="clear" w:color="E2EBD8" w:themeColor="accent5" w:themeTint="40" w:fill="E2EBD8"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E4ECD9" w:themeColor="accent6" w:themeTint="90"/>
        <w:left w:val="single" w:sz="4" w:space="0" w:color="E4ECD9" w:themeColor="accent6" w:themeTint="90"/>
        <w:bottom w:val="single" w:sz="4" w:space="0" w:color="E4ECD9" w:themeColor="accent6" w:themeTint="90"/>
        <w:right w:val="single" w:sz="4" w:space="0" w:color="E4ECD9" w:themeColor="accent6" w:themeTint="90"/>
        <w:insideH w:val="single" w:sz="4" w:space="0" w:color="E4ECD9" w:themeColor="accent6" w:themeTint="90"/>
      </w:tblBorders>
    </w:tblPr>
    <w:tblStylePr w:type="firstRow">
      <w:rPr>
        <w:rFonts w:ascii="Arial" w:hAnsi="Arial"/>
        <w:b/>
        <w:color w:val="FFFFFF"/>
        <w:sz w:val="22"/>
      </w:rPr>
      <w:tblPr/>
      <w:tcPr>
        <w:shd w:val="clear" w:color="D1DEBD" w:themeColor="accent6" w:fill="D1DEBD"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3F6EE" w:themeColor="accent6" w:themeTint="40" w:fill="F3F6EE" w:themeFill="accent6" w:themeFillTint="40"/>
      </w:tcPr>
    </w:tblStylePr>
    <w:tblStylePr w:type="band1Horz">
      <w:rPr>
        <w:rFonts w:ascii="Arial" w:hAnsi="Arial"/>
        <w:color w:val="404040"/>
        <w:sz w:val="22"/>
      </w:rPr>
      <w:tblPr/>
      <w:tcPr>
        <w:shd w:val="clear" w:color="F3F6EE" w:themeColor="accent6" w:themeTint="40" w:fill="F3F6EE"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B0ACAB" w:themeColor="text1" w:themeTint="80"/>
        <w:left w:val="single" w:sz="32" w:space="0" w:color="B0ACAB" w:themeColor="text1" w:themeTint="80"/>
        <w:bottom w:val="single" w:sz="32" w:space="0" w:color="B0ACAB" w:themeColor="text1" w:themeTint="80"/>
        <w:right w:val="single" w:sz="32" w:space="0" w:color="B0ACAB" w:themeColor="text1" w:themeTint="80"/>
      </w:tblBorders>
      <w:shd w:val="clear" w:color="B0ACAB" w:themeColor="text1" w:themeTint="80" w:fill="B0ACAB" w:themeFill="text1" w:themeFillTint="80"/>
    </w:tblPr>
    <w:tblStylePr w:type="firstRow">
      <w:rPr>
        <w:rFonts w:ascii="Arial" w:hAnsi="Arial"/>
        <w:b/>
        <w:color w:val="000000" w:themeColor="light1"/>
        <w:sz w:val="22"/>
      </w:rPr>
      <w:tblPr/>
      <w:tcPr>
        <w:tcBorders>
          <w:top w:val="single" w:sz="32" w:space="0" w:color="B0ACAB" w:themeColor="text1" w:themeTint="80"/>
          <w:bottom w:val="single" w:sz="12" w:space="0" w:color="000000" w:themeColor="light1"/>
        </w:tcBorders>
        <w:shd w:val="clear" w:color="B0ACAB" w:themeColor="text1" w:themeTint="80" w:fill="B0ACAB" w:themeFill="text1" w:themeFillTint="80"/>
      </w:tcPr>
    </w:tblStylePr>
    <w:tblStylePr w:type="lastRow">
      <w:rPr>
        <w:rFonts w:ascii="Arial" w:hAnsi="Arial"/>
        <w:b/>
        <w:color w:val="000000" w:themeColor="light1"/>
        <w:sz w:val="22"/>
      </w:rPr>
    </w:tblStylePr>
    <w:tblStylePr w:type="firstCol">
      <w:rPr>
        <w:rFonts w:ascii="Arial" w:hAnsi="Arial"/>
        <w:b/>
        <w:color w:val="000000" w:themeColor="light1"/>
        <w:sz w:val="22"/>
      </w:rPr>
      <w:tblPr/>
      <w:tcPr>
        <w:tcBorders>
          <w:left w:val="single" w:sz="32" w:space="0" w:color="B0ACAB" w:themeColor="text1" w:themeTint="80"/>
          <w:right w:val="single" w:sz="4" w:space="0" w:color="000000" w:themeColor="light1"/>
        </w:tcBorders>
      </w:tcPr>
    </w:tblStylePr>
    <w:tblStylePr w:type="lastCol">
      <w:tblPr/>
      <w:tcPr>
        <w:tcBorders>
          <w:left w:val="single" w:sz="4" w:space="0" w:color="000000" w:themeColor="light1"/>
          <w:right w:val="single" w:sz="32" w:space="0" w:color="B0ACAB" w:themeColor="text1" w:themeTint="80"/>
        </w:tcBorders>
      </w:tcPr>
    </w:tblStylePr>
    <w:tblStylePr w:type="band1Vert">
      <w:tblPr/>
      <w:tcPr>
        <w:tcBorders>
          <w:left w:val="single" w:sz="4" w:space="0" w:color="000000" w:themeColor="light1"/>
          <w:right w:val="single" w:sz="4" w:space="0" w:color="000000" w:themeColor="light1"/>
        </w:tcBorders>
        <w:shd w:val="clear" w:color="B0ACAB" w:themeColor="text1" w:themeTint="80" w:fill="B0ACAB" w:themeFill="text1" w:themeFillTint="80"/>
      </w:tcPr>
    </w:tblStylePr>
    <w:tblStylePr w:type="band2Vert">
      <w:tblPr/>
      <w:tcPr>
        <w:tcBorders>
          <w:left w:val="single" w:sz="4" w:space="0" w:color="000000" w:themeColor="light1"/>
          <w:right w:val="single" w:sz="4" w:space="0" w:color="000000" w:themeColor="light1"/>
        </w:tcBorders>
      </w:tcPr>
    </w:tblStylePr>
    <w:tblStylePr w:type="band1Horz">
      <w:tblPr/>
      <w:tcPr>
        <w:tcBorders>
          <w:top w:val="single" w:sz="4" w:space="0" w:color="000000" w:themeColor="light1"/>
          <w:bottom w:val="single" w:sz="4" w:space="0" w:color="000000" w:themeColor="light1"/>
        </w:tcBorders>
        <w:shd w:val="clear" w:color="B0ACAB" w:themeColor="text1" w:themeTint="80" w:fill="B0ACAB" w:themeFill="text1" w:themeFillTint="80"/>
      </w:tcPr>
    </w:tblStylePr>
    <w:tblStylePr w:type="band2Horz">
      <w:tblPr/>
      <w:tcPr>
        <w:tcBorders>
          <w:top w:val="single" w:sz="4" w:space="0" w:color="000000" w:themeColor="light1"/>
          <w:bottom w:val="single" w:sz="4" w:space="0" w:color="000000" w:themeColor="light1"/>
        </w:tcBorders>
        <w:shd w:val="clear" w:color="B0ACAB" w:themeColor="text1" w:themeTint="80" w:fill="B0ACAB"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F3C345" w:themeColor="accent1"/>
        <w:left w:val="single" w:sz="32" w:space="0" w:color="F3C345" w:themeColor="accent1"/>
        <w:bottom w:val="single" w:sz="32" w:space="0" w:color="F3C345" w:themeColor="accent1"/>
        <w:right w:val="single" w:sz="32" w:space="0" w:color="F3C345" w:themeColor="accent1"/>
      </w:tblBorders>
      <w:shd w:val="clear" w:color="F3C345" w:themeColor="accent1" w:fill="F3C345" w:themeFill="accent1"/>
    </w:tblPr>
    <w:tblStylePr w:type="firstRow">
      <w:rPr>
        <w:rFonts w:ascii="Arial" w:hAnsi="Arial"/>
        <w:b/>
        <w:color w:val="000000" w:themeColor="light1"/>
        <w:sz w:val="22"/>
      </w:rPr>
      <w:tblPr/>
      <w:tcPr>
        <w:tcBorders>
          <w:top w:val="single" w:sz="32" w:space="0" w:color="F3C345" w:themeColor="accent1"/>
          <w:bottom w:val="single" w:sz="12" w:space="0" w:color="000000" w:themeColor="light1"/>
        </w:tcBorders>
        <w:shd w:val="clear" w:color="F3C345" w:themeColor="accent1" w:fill="F3C345" w:themeFill="accent1"/>
      </w:tcPr>
    </w:tblStylePr>
    <w:tblStylePr w:type="lastRow">
      <w:rPr>
        <w:rFonts w:ascii="Arial" w:hAnsi="Arial"/>
        <w:b/>
        <w:color w:val="000000" w:themeColor="light1"/>
        <w:sz w:val="22"/>
      </w:rPr>
    </w:tblStylePr>
    <w:tblStylePr w:type="firstCol">
      <w:rPr>
        <w:rFonts w:ascii="Arial" w:hAnsi="Arial"/>
        <w:b/>
        <w:color w:val="000000" w:themeColor="light1"/>
        <w:sz w:val="22"/>
      </w:rPr>
      <w:tblPr/>
      <w:tcPr>
        <w:tcBorders>
          <w:left w:val="single" w:sz="32" w:space="0" w:color="F3C345" w:themeColor="accent1"/>
          <w:right w:val="single" w:sz="4" w:space="0" w:color="000000" w:themeColor="light1"/>
        </w:tcBorders>
      </w:tcPr>
    </w:tblStylePr>
    <w:tblStylePr w:type="lastCol">
      <w:tblPr/>
      <w:tcPr>
        <w:tcBorders>
          <w:left w:val="single" w:sz="4" w:space="0" w:color="000000" w:themeColor="light1"/>
          <w:right w:val="single" w:sz="32" w:space="0" w:color="F3C345" w:themeColor="accent1"/>
        </w:tcBorders>
      </w:tcPr>
    </w:tblStylePr>
    <w:tblStylePr w:type="band1Vert">
      <w:tblPr/>
      <w:tcPr>
        <w:tcBorders>
          <w:left w:val="single" w:sz="4" w:space="0" w:color="000000" w:themeColor="light1"/>
          <w:right w:val="single" w:sz="4" w:space="0" w:color="000000" w:themeColor="light1"/>
        </w:tcBorders>
        <w:shd w:val="clear" w:color="F3C345" w:themeColor="accent1" w:fill="F3C345" w:themeFill="accent1"/>
      </w:tcPr>
    </w:tblStylePr>
    <w:tblStylePr w:type="band2Vert">
      <w:tblPr/>
      <w:tcPr>
        <w:tcBorders>
          <w:left w:val="single" w:sz="4" w:space="0" w:color="000000" w:themeColor="light1"/>
          <w:right w:val="single" w:sz="4" w:space="0" w:color="000000" w:themeColor="light1"/>
        </w:tcBorders>
      </w:tcPr>
    </w:tblStylePr>
    <w:tblStylePr w:type="band1Horz">
      <w:tblPr/>
      <w:tcPr>
        <w:tcBorders>
          <w:top w:val="single" w:sz="4" w:space="0" w:color="000000" w:themeColor="light1"/>
          <w:bottom w:val="single" w:sz="4" w:space="0" w:color="000000" w:themeColor="light1"/>
        </w:tcBorders>
        <w:shd w:val="clear" w:color="F3C345" w:themeColor="accent1" w:fill="F3C345" w:themeFill="accent1"/>
      </w:tcPr>
    </w:tblStylePr>
    <w:tblStylePr w:type="band2Horz">
      <w:tblPr/>
      <w:tcPr>
        <w:tcBorders>
          <w:top w:val="single" w:sz="4" w:space="0" w:color="000000" w:themeColor="light1"/>
          <w:bottom w:val="single" w:sz="4" w:space="0" w:color="000000" w:themeColor="light1"/>
        </w:tcBorders>
        <w:shd w:val="clear" w:color="F3C345" w:themeColor="accent1" w:fill="F3C345"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AE6B7" w:themeColor="accent2" w:themeTint="97"/>
        <w:left w:val="single" w:sz="32" w:space="0" w:color="FAE6B7" w:themeColor="accent2" w:themeTint="97"/>
        <w:bottom w:val="single" w:sz="32" w:space="0" w:color="FAE6B7" w:themeColor="accent2" w:themeTint="97"/>
        <w:right w:val="single" w:sz="32" w:space="0" w:color="FAE6B7" w:themeColor="accent2" w:themeTint="97"/>
      </w:tblBorders>
      <w:shd w:val="clear" w:color="FAE6B7" w:themeColor="accent2" w:themeTint="97" w:fill="FAE6B7" w:themeFill="accent2" w:themeFillTint="97"/>
    </w:tblPr>
    <w:tblStylePr w:type="firstRow">
      <w:rPr>
        <w:rFonts w:ascii="Arial" w:hAnsi="Arial"/>
        <w:b/>
        <w:color w:val="000000" w:themeColor="light1"/>
        <w:sz w:val="22"/>
      </w:rPr>
      <w:tblPr/>
      <w:tcPr>
        <w:tcBorders>
          <w:top w:val="single" w:sz="32" w:space="0" w:color="FAE6B7" w:themeColor="accent2" w:themeTint="97"/>
          <w:bottom w:val="single" w:sz="12" w:space="0" w:color="000000" w:themeColor="light1"/>
        </w:tcBorders>
        <w:shd w:val="clear" w:color="FAE6B7" w:themeColor="accent2" w:themeTint="97" w:fill="FAE6B7" w:themeFill="accent2" w:themeFillTint="97"/>
      </w:tcPr>
    </w:tblStylePr>
    <w:tblStylePr w:type="lastRow">
      <w:rPr>
        <w:rFonts w:ascii="Arial" w:hAnsi="Arial"/>
        <w:b/>
        <w:color w:val="000000" w:themeColor="light1"/>
        <w:sz w:val="22"/>
      </w:rPr>
    </w:tblStylePr>
    <w:tblStylePr w:type="firstCol">
      <w:rPr>
        <w:rFonts w:ascii="Arial" w:hAnsi="Arial"/>
        <w:b/>
        <w:color w:val="000000" w:themeColor="light1"/>
        <w:sz w:val="22"/>
      </w:rPr>
      <w:tblPr/>
      <w:tcPr>
        <w:tcBorders>
          <w:left w:val="single" w:sz="32" w:space="0" w:color="FAE6B7" w:themeColor="accent2" w:themeTint="97"/>
          <w:right w:val="single" w:sz="4" w:space="0" w:color="000000" w:themeColor="light1"/>
        </w:tcBorders>
      </w:tcPr>
    </w:tblStylePr>
    <w:tblStylePr w:type="lastCol">
      <w:tblPr/>
      <w:tcPr>
        <w:tcBorders>
          <w:left w:val="single" w:sz="4" w:space="0" w:color="000000" w:themeColor="light1"/>
          <w:right w:val="single" w:sz="32" w:space="0" w:color="FAE6B7" w:themeColor="accent2" w:themeTint="97"/>
        </w:tcBorders>
      </w:tcPr>
    </w:tblStylePr>
    <w:tblStylePr w:type="band1Vert">
      <w:tblPr/>
      <w:tcPr>
        <w:tcBorders>
          <w:left w:val="single" w:sz="4" w:space="0" w:color="000000" w:themeColor="light1"/>
          <w:right w:val="single" w:sz="4" w:space="0" w:color="000000" w:themeColor="light1"/>
        </w:tcBorders>
        <w:shd w:val="clear" w:color="FAE6B7" w:themeColor="accent2" w:themeTint="97" w:fill="FAE6B7" w:themeFill="accent2" w:themeFillTint="97"/>
      </w:tcPr>
    </w:tblStylePr>
    <w:tblStylePr w:type="band2Vert">
      <w:tblPr/>
      <w:tcPr>
        <w:tcBorders>
          <w:left w:val="single" w:sz="4" w:space="0" w:color="000000" w:themeColor="light1"/>
          <w:right w:val="single" w:sz="4" w:space="0" w:color="000000" w:themeColor="light1"/>
        </w:tcBorders>
      </w:tcPr>
    </w:tblStylePr>
    <w:tblStylePr w:type="band1Horz">
      <w:tblPr/>
      <w:tcPr>
        <w:tcBorders>
          <w:top w:val="single" w:sz="4" w:space="0" w:color="000000" w:themeColor="light1"/>
          <w:bottom w:val="single" w:sz="4" w:space="0" w:color="000000" w:themeColor="light1"/>
        </w:tcBorders>
        <w:shd w:val="clear" w:color="FAE6B7" w:themeColor="accent2" w:themeTint="97" w:fill="FAE6B7" w:themeFill="accent2" w:themeFillTint="97"/>
      </w:tcPr>
    </w:tblStylePr>
    <w:tblStylePr w:type="band2Horz">
      <w:tblPr/>
      <w:tcPr>
        <w:tcBorders>
          <w:top w:val="single" w:sz="4" w:space="0" w:color="000000" w:themeColor="light1"/>
          <w:bottom w:val="single" w:sz="4" w:space="0" w:color="000000" w:themeColor="light1"/>
        </w:tcBorders>
        <w:shd w:val="clear" w:color="FAE6B7" w:themeColor="accent2" w:themeTint="97" w:fill="FAE6B7"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FFF5E5" w:themeColor="accent3" w:themeTint="98"/>
        <w:left w:val="single" w:sz="32" w:space="0" w:color="FFF5E5" w:themeColor="accent3" w:themeTint="98"/>
        <w:bottom w:val="single" w:sz="32" w:space="0" w:color="FFF5E5" w:themeColor="accent3" w:themeTint="98"/>
        <w:right w:val="single" w:sz="32" w:space="0" w:color="FFF5E5" w:themeColor="accent3" w:themeTint="98"/>
      </w:tblBorders>
      <w:shd w:val="clear" w:color="FFF5E5" w:themeColor="accent3" w:themeTint="98" w:fill="FFF5E5" w:themeFill="accent3" w:themeFillTint="98"/>
    </w:tblPr>
    <w:tblStylePr w:type="firstRow">
      <w:rPr>
        <w:rFonts w:ascii="Arial" w:hAnsi="Arial"/>
        <w:b/>
        <w:color w:val="000000" w:themeColor="light1"/>
        <w:sz w:val="22"/>
      </w:rPr>
      <w:tblPr/>
      <w:tcPr>
        <w:tcBorders>
          <w:top w:val="single" w:sz="32" w:space="0" w:color="FFF5E5" w:themeColor="accent3" w:themeTint="98"/>
          <w:bottom w:val="single" w:sz="12" w:space="0" w:color="000000" w:themeColor="light1"/>
        </w:tcBorders>
        <w:shd w:val="clear" w:color="FFF5E5" w:themeColor="accent3" w:themeTint="98" w:fill="FFF5E5" w:themeFill="accent3" w:themeFillTint="98"/>
      </w:tcPr>
    </w:tblStylePr>
    <w:tblStylePr w:type="lastRow">
      <w:rPr>
        <w:rFonts w:ascii="Arial" w:hAnsi="Arial"/>
        <w:b/>
        <w:color w:val="000000" w:themeColor="light1"/>
        <w:sz w:val="22"/>
      </w:rPr>
    </w:tblStylePr>
    <w:tblStylePr w:type="firstCol">
      <w:rPr>
        <w:rFonts w:ascii="Arial" w:hAnsi="Arial"/>
        <w:b/>
        <w:color w:val="000000" w:themeColor="light1"/>
        <w:sz w:val="22"/>
      </w:rPr>
      <w:tblPr/>
      <w:tcPr>
        <w:tcBorders>
          <w:left w:val="single" w:sz="32" w:space="0" w:color="FFF5E5" w:themeColor="accent3" w:themeTint="98"/>
          <w:right w:val="single" w:sz="4" w:space="0" w:color="000000" w:themeColor="light1"/>
        </w:tcBorders>
      </w:tcPr>
    </w:tblStylePr>
    <w:tblStylePr w:type="lastCol">
      <w:tblPr/>
      <w:tcPr>
        <w:tcBorders>
          <w:left w:val="single" w:sz="4" w:space="0" w:color="000000" w:themeColor="light1"/>
          <w:right w:val="single" w:sz="32" w:space="0" w:color="FFF5E5" w:themeColor="accent3" w:themeTint="98"/>
        </w:tcBorders>
      </w:tcPr>
    </w:tblStylePr>
    <w:tblStylePr w:type="band1Vert">
      <w:tblPr/>
      <w:tcPr>
        <w:tcBorders>
          <w:left w:val="single" w:sz="4" w:space="0" w:color="000000" w:themeColor="light1"/>
          <w:right w:val="single" w:sz="4" w:space="0" w:color="000000" w:themeColor="light1"/>
        </w:tcBorders>
        <w:shd w:val="clear" w:color="FFF5E5" w:themeColor="accent3" w:themeTint="98" w:fill="FFF5E5" w:themeFill="accent3" w:themeFillTint="98"/>
      </w:tcPr>
    </w:tblStylePr>
    <w:tblStylePr w:type="band2Vert">
      <w:tblPr/>
      <w:tcPr>
        <w:tcBorders>
          <w:left w:val="single" w:sz="4" w:space="0" w:color="000000" w:themeColor="light1"/>
          <w:right w:val="single" w:sz="4" w:space="0" w:color="000000" w:themeColor="light1"/>
        </w:tcBorders>
      </w:tcPr>
    </w:tblStylePr>
    <w:tblStylePr w:type="band1Horz">
      <w:tblPr/>
      <w:tcPr>
        <w:tcBorders>
          <w:top w:val="single" w:sz="4" w:space="0" w:color="000000" w:themeColor="light1"/>
          <w:bottom w:val="single" w:sz="4" w:space="0" w:color="000000" w:themeColor="light1"/>
        </w:tcBorders>
        <w:shd w:val="clear" w:color="FFF5E5" w:themeColor="accent3" w:themeTint="98" w:fill="FFF5E5" w:themeFill="accent3" w:themeFillTint="98"/>
      </w:tcPr>
    </w:tblStylePr>
    <w:tblStylePr w:type="band2Horz">
      <w:tblPr/>
      <w:tcPr>
        <w:tcBorders>
          <w:top w:val="single" w:sz="4" w:space="0" w:color="000000" w:themeColor="light1"/>
          <w:bottom w:val="single" w:sz="4" w:space="0" w:color="000000" w:themeColor="light1"/>
        </w:tcBorders>
        <w:shd w:val="clear" w:color="FFF5E5" w:themeColor="accent3" w:themeTint="98" w:fill="FFF5E5"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92D763" w:themeColor="accent4" w:themeTint="9A"/>
        <w:left w:val="single" w:sz="32" w:space="0" w:color="92D763" w:themeColor="accent4" w:themeTint="9A"/>
        <w:bottom w:val="single" w:sz="32" w:space="0" w:color="92D763" w:themeColor="accent4" w:themeTint="9A"/>
        <w:right w:val="single" w:sz="32" w:space="0" w:color="92D763" w:themeColor="accent4" w:themeTint="9A"/>
      </w:tblBorders>
      <w:shd w:val="clear" w:color="92D763" w:themeColor="accent4" w:themeTint="9A" w:fill="92D763" w:themeFill="accent4" w:themeFillTint="9A"/>
    </w:tblPr>
    <w:tblStylePr w:type="firstRow">
      <w:rPr>
        <w:rFonts w:ascii="Arial" w:hAnsi="Arial"/>
        <w:b/>
        <w:color w:val="000000" w:themeColor="light1"/>
        <w:sz w:val="22"/>
      </w:rPr>
      <w:tblPr/>
      <w:tcPr>
        <w:tcBorders>
          <w:top w:val="single" w:sz="32" w:space="0" w:color="92D763" w:themeColor="accent4" w:themeTint="9A"/>
          <w:bottom w:val="single" w:sz="12" w:space="0" w:color="000000" w:themeColor="light1"/>
        </w:tcBorders>
        <w:shd w:val="clear" w:color="92D763" w:themeColor="accent4" w:themeTint="9A" w:fill="92D763" w:themeFill="accent4" w:themeFillTint="9A"/>
      </w:tcPr>
    </w:tblStylePr>
    <w:tblStylePr w:type="lastRow">
      <w:rPr>
        <w:rFonts w:ascii="Arial" w:hAnsi="Arial"/>
        <w:b/>
        <w:color w:val="000000" w:themeColor="light1"/>
        <w:sz w:val="22"/>
      </w:rPr>
    </w:tblStylePr>
    <w:tblStylePr w:type="firstCol">
      <w:rPr>
        <w:rFonts w:ascii="Arial" w:hAnsi="Arial"/>
        <w:b/>
        <w:color w:val="000000" w:themeColor="light1"/>
        <w:sz w:val="22"/>
      </w:rPr>
      <w:tblPr/>
      <w:tcPr>
        <w:tcBorders>
          <w:left w:val="single" w:sz="32" w:space="0" w:color="92D763" w:themeColor="accent4" w:themeTint="9A"/>
          <w:right w:val="single" w:sz="4" w:space="0" w:color="000000" w:themeColor="light1"/>
        </w:tcBorders>
      </w:tcPr>
    </w:tblStylePr>
    <w:tblStylePr w:type="lastCol">
      <w:tblPr/>
      <w:tcPr>
        <w:tcBorders>
          <w:left w:val="single" w:sz="4" w:space="0" w:color="000000" w:themeColor="light1"/>
          <w:right w:val="single" w:sz="32" w:space="0" w:color="92D763" w:themeColor="accent4" w:themeTint="9A"/>
        </w:tcBorders>
      </w:tcPr>
    </w:tblStylePr>
    <w:tblStylePr w:type="band1Vert">
      <w:tblPr/>
      <w:tcPr>
        <w:tcBorders>
          <w:left w:val="single" w:sz="4" w:space="0" w:color="000000" w:themeColor="light1"/>
          <w:right w:val="single" w:sz="4" w:space="0" w:color="000000" w:themeColor="light1"/>
        </w:tcBorders>
        <w:shd w:val="clear" w:color="92D763" w:themeColor="accent4" w:themeTint="9A" w:fill="92D763" w:themeFill="accent4" w:themeFillTint="9A"/>
      </w:tcPr>
    </w:tblStylePr>
    <w:tblStylePr w:type="band2Vert">
      <w:tblPr/>
      <w:tcPr>
        <w:tcBorders>
          <w:left w:val="single" w:sz="4" w:space="0" w:color="000000" w:themeColor="light1"/>
          <w:right w:val="single" w:sz="4" w:space="0" w:color="000000" w:themeColor="light1"/>
        </w:tcBorders>
      </w:tcPr>
    </w:tblStylePr>
    <w:tblStylePr w:type="band1Horz">
      <w:tblPr/>
      <w:tcPr>
        <w:tcBorders>
          <w:top w:val="single" w:sz="4" w:space="0" w:color="000000" w:themeColor="light1"/>
          <w:bottom w:val="single" w:sz="4" w:space="0" w:color="000000" w:themeColor="light1"/>
        </w:tcBorders>
        <w:shd w:val="clear" w:color="92D763" w:themeColor="accent4" w:themeTint="9A" w:fill="92D763" w:themeFill="accent4" w:themeFillTint="9A"/>
      </w:tcPr>
    </w:tblStylePr>
    <w:tblStylePr w:type="band2Horz">
      <w:tblPr/>
      <w:tcPr>
        <w:tcBorders>
          <w:top w:val="single" w:sz="4" w:space="0" w:color="000000" w:themeColor="light1"/>
          <w:bottom w:val="single" w:sz="4" w:space="0" w:color="000000" w:themeColor="light1"/>
        </w:tcBorders>
        <w:shd w:val="clear" w:color="92D763" w:themeColor="accent4" w:themeTint="9A" w:fill="92D763"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BBD0A1" w:themeColor="accent5" w:themeTint="9A"/>
        <w:left w:val="single" w:sz="32" w:space="0" w:color="BBD0A1" w:themeColor="accent5" w:themeTint="9A"/>
        <w:bottom w:val="single" w:sz="32" w:space="0" w:color="BBD0A1" w:themeColor="accent5" w:themeTint="9A"/>
        <w:right w:val="single" w:sz="32" w:space="0" w:color="BBD0A1" w:themeColor="accent5" w:themeTint="9A"/>
      </w:tblBorders>
      <w:shd w:val="clear" w:color="BBD0A1" w:themeColor="accent5" w:themeTint="9A" w:fill="BBD0A1" w:themeFill="accent5" w:themeFillTint="9A"/>
    </w:tblPr>
    <w:tblStylePr w:type="firstRow">
      <w:rPr>
        <w:rFonts w:ascii="Arial" w:hAnsi="Arial"/>
        <w:b/>
        <w:color w:val="000000" w:themeColor="light1"/>
        <w:sz w:val="22"/>
      </w:rPr>
      <w:tblPr/>
      <w:tcPr>
        <w:tcBorders>
          <w:top w:val="single" w:sz="32" w:space="0" w:color="BBD0A1" w:themeColor="accent5" w:themeTint="9A"/>
          <w:bottom w:val="single" w:sz="12" w:space="0" w:color="000000" w:themeColor="light1"/>
        </w:tcBorders>
        <w:shd w:val="clear" w:color="BBD0A1" w:themeColor="accent5" w:themeTint="9A" w:fill="BBD0A1" w:themeFill="accent5" w:themeFillTint="9A"/>
      </w:tcPr>
    </w:tblStylePr>
    <w:tblStylePr w:type="lastRow">
      <w:rPr>
        <w:rFonts w:ascii="Arial" w:hAnsi="Arial"/>
        <w:b/>
        <w:color w:val="000000" w:themeColor="light1"/>
        <w:sz w:val="22"/>
      </w:rPr>
    </w:tblStylePr>
    <w:tblStylePr w:type="firstCol">
      <w:rPr>
        <w:rFonts w:ascii="Arial" w:hAnsi="Arial"/>
        <w:b/>
        <w:color w:val="000000" w:themeColor="light1"/>
        <w:sz w:val="22"/>
      </w:rPr>
      <w:tblPr/>
      <w:tcPr>
        <w:tcBorders>
          <w:left w:val="single" w:sz="32" w:space="0" w:color="BBD0A1" w:themeColor="accent5" w:themeTint="9A"/>
          <w:right w:val="single" w:sz="4" w:space="0" w:color="000000" w:themeColor="light1"/>
        </w:tcBorders>
      </w:tcPr>
    </w:tblStylePr>
    <w:tblStylePr w:type="lastCol">
      <w:tblPr/>
      <w:tcPr>
        <w:tcBorders>
          <w:left w:val="single" w:sz="4" w:space="0" w:color="000000" w:themeColor="light1"/>
          <w:right w:val="single" w:sz="32" w:space="0" w:color="BBD0A1" w:themeColor="accent5" w:themeTint="9A"/>
        </w:tcBorders>
      </w:tcPr>
    </w:tblStylePr>
    <w:tblStylePr w:type="band1Vert">
      <w:tblPr/>
      <w:tcPr>
        <w:tcBorders>
          <w:left w:val="single" w:sz="4" w:space="0" w:color="000000" w:themeColor="light1"/>
          <w:right w:val="single" w:sz="4" w:space="0" w:color="000000" w:themeColor="light1"/>
        </w:tcBorders>
        <w:shd w:val="clear" w:color="BBD0A1" w:themeColor="accent5" w:themeTint="9A" w:fill="BBD0A1" w:themeFill="accent5" w:themeFillTint="9A"/>
      </w:tcPr>
    </w:tblStylePr>
    <w:tblStylePr w:type="band2Vert">
      <w:tblPr/>
      <w:tcPr>
        <w:tcBorders>
          <w:left w:val="single" w:sz="4" w:space="0" w:color="000000" w:themeColor="light1"/>
          <w:right w:val="single" w:sz="4" w:space="0" w:color="000000" w:themeColor="light1"/>
        </w:tcBorders>
      </w:tcPr>
    </w:tblStylePr>
    <w:tblStylePr w:type="band1Horz">
      <w:tblPr/>
      <w:tcPr>
        <w:tcBorders>
          <w:top w:val="single" w:sz="4" w:space="0" w:color="000000" w:themeColor="light1"/>
          <w:bottom w:val="single" w:sz="4" w:space="0" w:color="000000" w:themeColor="light1"/>
        </w:tcBorders>
        <w:shd w:val="clear" w:color="BBD0A1" w:themeColor="accent5" w:themeTint="9A" w:fill="BBD0A1" w:themeFill="accent5" w:themeFillTint="9A"/>
      </w:tcPr>
    </w:tblStylePr>
    <w:tblStylePr w:type="band2Horz">
      <w:tblPr/>
      <w:tcPr>
        <w:tcBorders>
          <w:top w:val="single" w:sz="4" w:space="0" w:color="000000" w:themeColor="light1"/>
          <w:bottom w:val="single" w:sz="4" w:space="0" w:color="000000" w:themeColor="light1"/>
        </w:tcBorders>
        <w:shd w:val="clear" w:color="BBD0A1" w:themeColor="accent5" w:themeTint="9A" w:fill="BBD0A1"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E3EBD7" w:themeColor="accent6" w:themeTint="98"/>
        <w:left w:val="single" w:sz="32" w:space="0" w:color="E3EBD7" w:themeColor="accent6" w:themeTint="98"/>
        <w:bottom w:val="single" w:sz="32" w:space="0" w:color="E3EBD7" w:themeColor="accent6" w:themeTint="98"/>
        <w:right w:val="single" w:sz="32" w:space="0" w:color="E3EBD7" w:themeColor="accent6" w:themeTint="98"/>
      </w:tblBorders>
      <w:shd w:val="clear" w:color="E3EBD7" w:themeColor="accent6" w:themeTint="98" w:fill="E3EBD7" w:themeFill="accent6" w:themeFillTint="98"/>
    </w:tblPr>
    <w:tblStylePr w:type="firstRow">
      <w:rPr>
        <w:rFonts w:ascii="Arial" w:hAnsi="Arial"/>
        <w:b/>
        <w:color w:val="000000" w:themeColor="light1"/>
        <w:sz w:val="22"/>
      </w:rPr>
      <w:tblPr/>
      <w:tcPr>
        <w:tcBorders>
          <w:top w:val="single" w:sz="32" w:space="0" w:color="E3EBD7" w:themeColor="accent6" w:themeTint="98"/>
          <w:bottom w:val="single" w:sz="12" w:space="0" w:color="000000" w:themeColor="light1"/>
        </w:tcBorders>
        <w:shd w:val="clear" w:color="E3EBD7" w:themeColor="accent6" w:themeTint="98" w:fill="E3EBD7" w:themeFill="accent6" w:themeFillTint="98"/>
      </w:tcPr>
    </w:tblStylePr>
    <w:tblStylePr w:type="lastRow">
      <w:rPr>
        <w:rFonts w:ascii="Arial" w:hAnsi="Arial"/>
        <w:b/>
        <w:color w:val="000000" w:themeColor="light1"/>
        <w:sz w:val="22"/>
      </w:rPr>
    </w:tblStylePr>
    <w:tblStylePr w:type="firstCol">
      <w:rPr>
        <w:rFonts w:ascii="Arial" w:hAnsi="Arial"/>
        <w:b/>
        <w:color w:val="000000" w:themeColor="light1"/>
        <w:sz w:val="22"/>
      </w:rPr>
      <w:tblPr/>
      <w:tcPr>
        <w:tcBorders>
          <w:left w:val="single" w:sz="32" w:space="0" w:color="E3EBD7" w:themeColor="accent6" w:themeTint="98"/>
          <w:right w:val="single" w:sz="4" w:space="0" w:color="000000" w:themeColor="light1"/>
        </w:tcBorders>
      </w:tcPr>
    </w:tblStylePr>
    <w:tblStylePr w:type="lastCol">
      <w:tblPr/>
      <w:tcPr>
        <w:tcBorders>
          <w:left w:val="single" w:sz="4" w:space="0" w:color="000000" w:themeColor="light1"/>
          <w:right w:val="single" w:sz="32" w:space="0" w:color="E3EBD7" w:themeColor="accent6" w:themeTint="98"/>
        </w:tcBorders>
      </w:tcPr>
    </w:tblStylePr>
    <w:tblStylePr w:type="band1Vert">
      <w:tblPr/>
      <w:tcPr>
        <w:tcBorders>
          <w:left w:val="single" w:sz="4" w:space="0" w:color="000000" w:themeColor="light1"/>
          <w:right w:val="single" w:sz="4" w:space="0" w:color="000000" w:themeColor="light1"/>
        </w:tcBorders>
        <w:shd w:val="clear" w:color="E3EBD7" w:themeColor="accent6" w:themeTint="98" w:fill="E3EBD7" w:themeFill="accent6" w:themeFillTint="98"/>
      </w:tcPr>
    </w:tblStylePr>
    <w:tblStylePr w:type="band2Vert">
      <w:tblPr/>
      <w:tcPr>
        <w:tcBorders>
          <w:left w:val="single" w:sz="4" w:space="0" w:color="000000" w:themeColor="light1"/>
          <w:right w:val="single" w:sz="4" w:space="0" w:color="000000" w:themeColor="light1"/>
        </w:tcBorders>
      </w:tcPr>
    </w:tblStylePr>
    <w:tblStylePr w:type="band1Horz">
      <w:tblPr/>
      <w:tcPr>
        <w:tcBorders>
          <w:top w:val="single" w:sz="4" w:space="0" w:color="000000" w:themeColor="light1"/>
          <w:bottom w:val="single" w:sz="4" w:space="0" w:color="000000" w:themeColor="light1"/>
        </w:tcBorders>
        <w:shd w:val="clear" w:color="E3EBD7" w:themeColor="accent6" w:themeTint="98" w:fill="E3EBD7" w:themeFill="accent6" w:themeFillTint="98"/>
      </w:tcPr>
    </w:tblStylePr>
    <w:tblStylePr w:type="band2Horz">
      <w:tblPr/>
      <w:tcPr>
        <w:tcBorders>
          <w:top w:val="single" w:sz="4" w:space="0" w:color="000000" w:themeColor="light1"/>
          <w:bottom w:val="single" w:sz="4" w:space="0" w:color="000000" w:themeColor="light1"/>
        </w:tcBorders>
        <w:shd w:val="clear" w:color="E3EBD7" w:themeColor="accent6" w:themeTint="98" w:fill="E3EBD7"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B0ACAB" w:themeColor="text1" w:themeTint="80"/>
        <w:bottom w:val="single" w:sz="4" w:space="0" w:color="B0ACAB" w:themeColor="text1" w:themeTint="80"/>
      </w:tblBorders>
    </w:tblPr>
    <w:tblStylePr w:type="firstRow">
      <w:rPr>
        <w:b/>
        <w:color w:val="605C5B" w:themeColor="text1"/>
      </w:rPr>
      <w:tblPr/>
      <w:tcPr>
        <w:tcBorders>
          <w:bottom w:val="single" w:sz="4" w:space="0" w:color="B0ACAB" w:themeColor="text1" w:themeTint="80"/>
        </w:tcBorders>
      </w:tcPr>
    </w:tblStylePr>
    <w:tblStylePr w:type="lastRow">
      <w:rPr>
        <w:b/>
        <w:color w:val="605C5B" w:themeColor="text1"/>
      </w:rPr>
      <w:tblPr/>
      <w:tcPr>
        <w:tcBorders>
          <w:top w:val="single" w:sz="4" w:space="0" w:color="B0ACAB" w:themeColor="text1" w:themeTint="80"/>
        </w:tcBorders>
      </w:tcPr>
    </w:tblStylePr>
    <w:tblStylePr w:type="firstCol">
      <w:rPr>
        <w:b/>
        <w:color w:val="605C5B" w:themeColor="text1"/>
      </w:rPr>
    </w:tblStylePr>
    <w:tblStylePr w:type="lastCol">
      <w:rPr>
        <w:b/>
        <w:color w:val="605C5B" w:themeColor="text1"/>
      </w:rPr>
    </w:tblStylePr>
    <w:tblStylePr w:type="band1Vert">
      <w:tblPr/>
      <w:tcPr>
        <w:shd w:val="clear" w:color="D7D5D5" w:themeColor="text1" w:themeTint="40" w:fill="D7D5D5" w:themeFill="text1" w:themeFillTint="40"/>
      </w:tcPr>
    </w:tblStylePr>
    <w:tblStylePr w:type="band1Horz">
      <w:rPr>
        <w:rFonts w:ascii="Arial" w:hAnsi="Arial"/>
        <w:color w:val="605C5B" w:themeColor="text1"/>
        <w:sz w:val="22"/>
      </w:rPr>
      <w:tblPr/>
      <w:tcPr>
        <w:shd w:val="clear" w:color="D7D5D5" w:themeColor="text1" w:themeTint="40" w:fill="D7D5D5" w:themeFill="text1" w:themeFillTint="40"/>
      </w:tcPr>
    </w:tblStylePr>
    <w:tblStylePr w:type="band2Horz">
      <w:rPr>
        <w:rFonts w:ascii="Arial" w:hAnsi="Arial"/>
        <w:color w:val="605C5B"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F3C345" w:themeColor="accent1"/>
        <w:bottom w:val="single" w:sz="4" w:space="0" w:color="F3C345" w:themeColor="accent1"/>
      </w:tblBorders>
    </w:tblPr>
    <w:tblStylePr w:type="firstRow">
      <w:rPr>
        <w:b/>
        <w:color w:val="AA7E0B" w:themeColor="accent1" w:themeShade="95"/>
      </w:rPr>
      <w:tblPr/>
      <w:tcPr>
        <w:tcBorders>
          <w:bottom w:val="single" w:sz="4" w:space="0" w:color="F3C345" w:themeColor="accent1"/>
        </w:tcBorders>
      </w:tcPr>
    </w:tblStylePr>
    <w:tblStylePr w:type="lastRow">
      <w:rPr>
        <w:b/>
        <w:color w:val="AA7E0B" w:themeColor="accent1" w:themeShade="95"/>
      </w:rPr>
      <w:tblPr/>
      <w:tcPr>
        <w:tcBorders>
          <w:top w:val="single" w:sz="4" w:space="0" w:color="F3C345" w:themeColor="accent1"/>
        </w:tcBorders>
      </w:tcPr>
    </w:tblStylePr>
    <w:tblStylePr w:type="firstCol">
      <w:rPr>
        <w:b/>
        <w:color w:val="AA7E0B" w:themeColor="accent1" w:themeShade="95"/>
      </w:rPr>
    </w:tblStylePr>
    <w:tblStylePr w:type="lastCol">
      <w:rPr>
        <w:b/>
        <w:color w:val="AA7E0B" w:themeColor="accent1" w:themeShade="95"/>
      </w:rPr>
    </w:tblStylePr>
    <w:tblStylePr w:type="band1Vert">
      <w:tblPr/>
      <w:tcPr>
        <w:shd w:val="clear" w:color="FCEFD0" w:themeColor="accent1" w:themeTint="40" w:fill="FCEFD0" w:themeFill="accent1" w:themeFillTint="40"/>
      </w:tcPr>
    </w:tblStylePr>
    <w:tblStylePr w:type="band1Horz">
      <w:rPr>
        <w:rFonts w:ascii="Arial" w:hAnsi="Arial"/>
        <w:color w:val="AA7E0B" w:themeColor="accent1" w:themeShade="95"/>
        <w:sz w:val="22"/>
      </w:rPr>
      <w:tblPr/>
      <w:tcPr>
        <w:shd w:val="clear" w:color="FCEFD0" w:themeColor="accent1" w:themeTint="40" w:fill="FCEFD0" w:themeFill="accent1" w:themeFillTint="40"/>
      </w:tcPr>
    </w:tblStylePr>
    <w:tblStylePr w:type="band2Horz">
      <w:rPr>
        <w:rFonts w:ascii="Arial" w:hAnsi="Arial"/>
        <w:color w:val="AA7E0B"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AE6B7" w:themeColor="accent2" w:themeTint="97"/>
        <w:bottom w:val="single" w:sz="4" w:space="0" w:color="FAE6B7" w:themeColor="accent2" w:themeTint="97"/>
      </w:tblBorders>
    </w:tblPr>
    <w:tblStylePr w:type="firstRow">
      <w:rPr>
        <w:b/>
        <w:color w:val="FAE6B7" w:themeColor="accent2" w:themeTint="97" w:themeShade="95"/>
      </w:rPr>
      <w:tblPr/>
      <w:tcPr>
        <w:tcBorders>
          <w:bottom w:val="single" w:sz="4" w:space="0" w:color="FAE6B7" w:themeColor="accent2" w:themeTint="97"/>
        </w:tcBorders>
      </w:tcPr>
    </w:tblStylePr>
    <w:tblStylePr w:type="lastRow">
      <w:rPr>
        <w:b/>
        <w:color w:val="FAE6B7" w:themeColor="accent2" w:themeTint="97" w:themeShade="95"/>
      </w:rPr>
      <w:tblPr/>
      <w:tcPr>
        <w:tcBorders>
          <w:top w:val="single" w:sz="4" w:space="0" w:color="FAE6B7" w:themeColor="accent2" w:themeTint="97"/>
        </w:tcBorders>
      </w:tcPr>
    </w:tblStylePr>
    <w:tblStylePr w:type="firstCol">
      <w:rPr>
        <w:b/>
        <w:color w:val="FAE6B7" w:themeColor="accent2" w:themeTint="97" w:themeShade="95"/>
      </w:rPr>
    </w:tblStylePr>
    <w:tblStylePr w:type="lastCol">
      <w:rPr>
        <w:b/>
        <w:color w:val="FAE6B7" w:themeColor="accent2" w:themeTint="97" w:themeShade="95"/>
      </w:rPr>
    </w:tblStylePr>
    <w:tblStylePr w:type="band1Vert">
      <w:tblPr/>
      <w:tcPr>
        <w:shd w:val="clear" w:color="FDF4E0" w:themeColor="accent2" w:themeTint="40" w:fill="FDF4E0" w:themeFill="accent2" w:themeFillTint="40"/>
      </w:tcPr>
    </w:tblStylePr>
    <w:tblStylePr w:type="band1Horz">
      <w:rPr>
        <w:rFonts w:ascii="Arial" w:hAnsi="Arial"/>
        <w:color w:val="FAE6B7" w:themeColor="accent2" w:themeTint="97" w:themeShade="95"/>
        <w:sz w:val="22"/>
      </w:rPr>
      <w:tblPr/>
      <w:tcPr>
        <w:shd w:val="clear" w:color="FDF4E0" w:themeColor="accent2" w:themeTint="40" w:fill="FDF4E0" w:themeFill="accent2" w:themeFillTint="40"/>
      </w:tcPr>
    </w:tblStylePr>
    <w:tblStylePr w:type="band2Horz">
      <w:rPr>
        <w:rFonts w:ascii="Arial" w:hAnsi="Arial"/>
        <w:color w:val="FAE6B7"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FFF5E5" w:themeColor="accent3" w:themeTint="98"/>
        <w:bottom w:val="single" w:sz="4" w:space="0" w:color="FFF5E5" w:themeColor="accent3" w:themeTint="98"/>
      </w:tblBorders>
    </w:tblPr>
    <w:tblStylePr w:type="firstRow">
      <w:rPr>
        <w:b/>
        <w:color w:val="FFF5E5" w:themeColor="accent3" w:themeTint="98" w:themeShade="95"/>
      </w:rPr>
      <w:tblPr/>
      <w:tcPr>
        <w:tcBorders>
          <w:bottom w:val="single" w:sz="4" w:space="0" w:color="FFF5E5" w:themeColor="accent3" w:themeTint="98"/>
        </w:tcBorders>
      </w:tcPr>
    </w:tblStylePr>
    <w:tblStylePr w:type="lastRow">
      <w:rPr>
        <w:b/>
        <w:color w:val="FFF5E5" w:themeColor="accent3" w:themeTint="98" w:themeShade="95"/>
      </w:rPr>
      <w:tblPr/>
      <w:tcPr>
        <w:tcBorders>
          <w:top w:val="single" w:sz="4" w:space="0" w:color="FFF5E5" w:themeColor="accent3" w:themeTint="98"/>
        </w:tcBorders>
      </w:tcPr>
    </w:tblStylePr>
    <w:tblStylePr w:type="firstCol">
      <w:rPr>
        <w:b/>
        <w:color w:val="FFF5E5" w:themeColor="accent3" w:themeTint="98" w:themeShade="95"/>
      </w:rPr>
    </w:tblStylePr>
    <w:tblStylePr w:type="lastCol">
      <w:rPr>
        <w:b/>
        <w:color w:val="FFF5E5" w:themeColor="accent3" w:themeTint="98" w:themeShade="95"/>
      </w:rPr>
    </w:tblStylePr>
    <w:tblStylePr w:type="band1Vert">
      <w:tblPr/>
      <w:tcPr>
        <w:shd w:val="clear" w:color="FFFBF4" w:themeColor="accent3" w:themeTint="40" w:fill="FFFBF4" w:themeFill="accent3" w:themeFillTint="40"/>
      </w:tcPr>
    </w:tblStylePr>
    <w:tblStylePr w:type="band1Horz">
      <w:rPr>
        <w:rFonts w:ascii="Arial" w:hAnsi="Arial"/>
        <w:color w:val="FFF5E5" w:themeColor="accent3" w:themeTint="98" w:themeShade="95"/>
        <w:sz w:val="22"/>
      </w:rPr>
      <w:tblPr/>
      <w:tcPr>
        <w:shd w:val="clear" w:color="FFFBF4" w:themeColor="accent3" w:themeTint="40" w:fill="FFFBF4" w:themeFill="accent3" w:themeFillTint="40"/>
      </w:tcPr>
    </w:tblStylePr>
    <w:tblStylePr w:type="band2Horz">
      <w:rPr>
        <w:rFonts w:ascii="Arial" w:hAnsi="Arial"/>
        <w:color w:val="FFF5E5"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92D763" w:themeColor="accent4" w:themeTint="9A"/>
        <w:bottom w:val="single" w:sz="4" w:space="0" w:color="92D763" w:themeColor="accent4" w:themeTint="9A"/>
      </w:tblBorders>
    </w:tblPr>
    <w:tblStylePr w:type="firstRow">
      <w:rPr>
        <w:b/>
        <w:color w:val="92D763" w:themeColor="accent4" w:themeTint="9A" w:themeShade="95"/>
      </w:rPr>
      <w:tblPr/>
      <w:tcPr>
        <w:tcBorders>
          <w:bottom w:val="single" w:sz="4" w:space="0" w:color="92D763" w:themeColor="accent4" w:themeTint="9A"/>
        </w:tcBorders>
      </w:tcPr>
    </w:tblStylePr>
    <w:tblStylePr w:type="lastRow">
      <w:rPr>
        <w:b/>
        <w:color w:val="92D763" w:themeColor="accent4" w:themeTint="9A" w:themeShade="95"/>
      </w:rPr>
      <w:tblPr/>
      <w:tcPr>
        <w:tcBorders>
          <w:top w:val="single" w:sz="4" w:space="0" w:color="92D763" w:themeColor="accent4" w:themeTint="9A"/>
        </w:tcBorders>
      </w:tcPr>
    </w:tblStylePr>
    <w:tblStylePr w:type="firstCol">
      <w:rPr>
        <w:b/>
        <w:color w:val="92D763" w:themeColor="accent4" w:themeTint="9A" w:themeShade="95"/>
      </w:rPr>
    </w:tblStylePr>
    <w:tblStylePr w:type="lastCol">
      <w:rPr>
        <w:b/>
        <w:color w:val="92D763" w:themeColor="accent4" w:themeTint="9A" w:themeShade="95"/>
      </w:rPr>
    </w:tblStylePr>
    <w:tblStylePr w:type="band1Vert">
      <w:tblPr/>
      <w:tcPr>
        <w:shd w:val="clear" w:color="D2EEBE" w:themeColor="accent4" w:themeTint="40" w:fill="D2EEBE" w:themeFill="accent4" w:themeFillTint="40"/>
      </w:tcPr>
    </w:tblStylePr>
    <w:tblStylePr w:type="band1Horz">
      <w:rPr>
        <w:rFonts w:ascii="Arial" w:hAnsi="Arial"/>
        <w:color w:val="92D763" w:themeColor="accent4" w:themeTint="9A" w:themeShade="95"/>
        <w:sz w:val="22"/>
      </w:rPr>
      <w:tblPr/>
      <w:tcPr>
        <w:shd w:val="clear" w:color="D2EEBE" w:themeColor="accent4" w:themeTint="40" w:fill="D2EEBE" w:themeFill="accent4" w:themeFillTint="40"/>
      </w:tcPr>
    </w:tblStylePr>
    <w:tblStylePr w:type="band2Horz">
      <w:rPr>
        <w:rFonts w:ascii="Arial" w:hAnsi="Arial"/>
        <w:color w:val="92D763"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BBD0A1" w:themeColor="accent5" w:themeTint="9A"/>
        <w:bottom w:val="single" w:sz="4" w:space="0" w:color="BBD0A1" w:themeColor="accent5" w:themeTint="9A"/>
      </w:tblBorders>
    </w:tblPr>
    <w:tblStylePr w:type="firstRow">
      <w:rPr>
        <w:b/>
        <w:color w:val="BBD0A1" w:themeColor="accent5" w:themeTint="9A" w:themeShade="95"/>
      </w:rPr>
      <w:tblPr/>
      <w:tcPr>
        <w:tcBorders>
          <w:bottom w:val="single" w:sz="4" w:space="0" w:color="BBD0A1" w:themeColor="accent5" w:themeTint="9A"/>
        </w:tcBorders>
      </w:tcPr>
    </w:tblStylePr>
    <w:tblStylePr w:type="lastRow">
      <w:rPr>
        <w:b/>
        <w:color w:val="BBD0A1" w:themeColor="accent5" w:themeTint="9A" w:themeShade="95"/>
      </w:rPr>
      <w:tblPr/>
      <w:tcPr>
        <w:tcBorders>
          <w:top w:val="single" w:sz="4" w:space="0" w:color="BBD0A1" w:themeColor="accent5" w:themeTint="9A"/>
        </w:tcBorders>
      </w:tcPr>
    </w:tblStylePr>
    <w:tblStylePr w:type="firstCol">
      <w:rPr>
        <w:b/>
        <w:color w:val="BBD0A1" w:themeColor="accent5" w:themeTint="9A" w:themeShade="95"/>
      </w:rPr>
    </w:tblStylePr>
    <w:tblStylePr w:type="lastCol">
      <w:rPr>
        <w:b/>
        <w:color w:val="BBD0A1" w:themeColor="accent5" w:themeTint="9A" w:themeShade="95"/>
      </w:rPr>
    </w:tblStylePr>
    <w:tblStylePr w:type="band1Vert">
      <w:tblPr/>
      <w:tcPr>
        <w:shd w:val="clear" w:color="E2EBD8" w:themeColor="accent5" w:themeTint="40" w:fill="E2EBD8" w:themeFill="accent5" w:themeFillTint="40"/>
      </w:tcPr>
    </w:tblStylePr>
    <w:tblStylePr w:type="band1Horz">
      <w:rPr>
        <w:rFonts w:ascii="Arial" w:hAnsi="Arial"/>
        <w:color w:val="BBD0A1" w:themeColor="accent5" w:themeTint="9A" w:themeShade="95"/>
        <w:sz w:val="22"/>
      </w:rPr>
      <w:tblPr/>
      <w:tcPr>
        <w:shd w:val="clear" w:color="E2EBD8" w:themeColor="accent5" w:themeTint="40" w:fill="E2EBD8" w:themeFill="accent5" w:themeFillTint="40"/>
      </w:tcPr>
    </w:tblStylePr>
    <w:tblStylePr w:type="band2Horz">
      <w:rPr>
        <w:rFonts w:ascii="Arial" w:hAnsi="Arial"/>
        <w:color w:val="BBD0A1"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E3EBD7" w:themeColor="accent6" w:themeTint="98"/>
        <w:bottom w:val="single" w:sz="4" w:space="0" w:color="E3EBD7" w:themeColor="accent6" w:themeTint="98"/>
      </w:tblBorders>
    </w:tblPr>
    <w:tblStylePr w:type="firstRow">
      <w:rPr>
        <w:b/>
        <w:color w:val="E3EBD7" w:themeColor="accent6" w:themeTint="98" w:themeShade="95"/>
      </w:rPr>
      <w:tblPr/>
      <w:tcPr>
        <w:tcBorders>
          <w:bottom w:val="single" w:sz="4" w:space="0" w:color="E3EBD7" w:themeColor="accent6" w:themeTint="98"/>
        </w:tcBorders>
      </w:tcPr>
    </w:tblStylePr>
    <w:tblStylePr w:type="lastRow">
      <w:rPr>
        <w:b/>
        <w:color w:val="E3EBD7" w:themeColor="accent6" w:themeTint="98" w:themeShade="95"/>
      </w:rPr>
      <w:tblPr/>
      <w:tcPr>
        <w:tcBorders>
          <w:top w:val="single" w:sz="4" w:space="0" w:color="E3EBD7" w:themeColor="accent6" w:themeTint="98"/>
        </w:tcBorders>
      </w:tcPr>
    </w:tblStylePr>
    <w:tblStylePr w:type="firstCol">
      <w:rPr>
        <w:b/>
        <w:color w:val="E3EBD7" w:themeColor="accent6" w:themeTint="98" w:themeShade="95"/>
      </w:rPr>
    </w:tblStylePr>
    <w:tblStylePr w:type="lastCol">
      <w:rPr>
        <w:b/>
        <w:color w:val="E3EBD7" w:themeColor="accent6" w:themeTint="98" w:themeShade="95"/>
      </w:rPr>
    </w:tblStylePr>
    <w:tblStylePr w:type="band1Vert">
      <w:tblPr/>
      <w:tcPr>
        <w:shd w:val="clear" w:color="F3F6EE" w:themeColor="accent6" w:themeTint="40" w:fill="F3F6EE" w:themeFill="accent6" w:themeFillTint="40"/>
      </w:tcPr>
    </w:tblStylePr>
    <w:tblStylePr w:type="band1Horz">
      <w:rPr>
        <w:rFonts w:ascii="Arial" w:hAnsi="Arial"/>
        <w:color w:val="E3EBD7" w:themeColor="accent6" w:themeTint="98" w:themeShade="95"/>
        <w:sz w:val="22"/>
      </w:rPr>
      <w:tblPr/>
      <w:tcPr>
        <w:shd w:val="clear" w:color="F3F6EE" w:themeColor="accent6" w:themeTint="40" w:fill="F3F6EE" w:themeFill="accent6" w:themeFillTint="40"/>
      </w:tcPr>
    </w:tblStylePr>
    <w:tblStylePr w:type="band2Horz">
      <w:rPr>
        <w:rFonts w:ascii="Arial" w:hAnsi="Arial"/>
        <w:color w:val="E3EBD7"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B0ACAB" w:themeColor="text1" w:themeTint="80"/>
      </w:tblBorders>
    </w:tblPr>
    <w:tblStylePr w:type="firstRow">
      <w:rPr>
        <w:rFonts w:ascii="Arial" w:hAnsi="Arial"/>
        <w:i/>
        <w:color w:val="B0ACAB" w:themeColor="text1" w:themeTint="80" w:themeShade="95"/>
        <w:sz w:val="22"/>
      </w:rPr>
      <w:tblPr/>
      <w:tcPr>
        <w:tcBorders>
          <w:top w:val="none" w:sz="0" w:space="0" w:color="auto"/>
          <w:left w:val="none" w:sz="0" w:space="0" w:color="auto"/>
          <w:bottom w:val="single" w:sz="4" w:space="0" w:color="B0ACAB" w:themeColor="text1" w:themeTint="80"/>
          <w:right w:val="none" w:sz="0" w:space="0" w:color="auto"/>
        </w:tcBorders>
        <w:shd w:val="clear" w:color="000000" w:themeColor="light1" w:fill="000000" w:themeFill="light1"/>
      </w:tcPr>
    </w:tblStylePr>
    <w:tblStylePr w:type="lastRow">
      <w:rPr>
        <w:rFonts w:ascii="Arial" w:hAnsi="Arial"/>
        <w:i/>
        <w:color w:val="B0ACAB" w:themeColor="text1" w:themeTint="80" w:themeShade="95"/>
        <w:sz w:val="22"/>
      </w:rPr>
      <w:tblPr/>
      <w:tcPr>
        <w:tcBorders>
          <w:top w:val="single" w:sz="4" w:space="0" w:color="B0ACAB" w:themeColor="text1" w:themeTint="80"/>
          <w:left w:val="none" w:sz="0" w:space="0" w:color="auto"/>
          <w:bottom w:val="none" w:sz="0" w:space="0" w:color="auto"/>
          <w:right w:val="none" w:sz="0" w:space="0" w:color="auto"/>
        </w:tcBorders>
        <w:shd w:val="clear" w:color="000000" w:themeColor="light1" w:fill="000000" w:themeFill="light1"/>
      </w:tcPr>
    </w:tblStylePr>
    <w:tblStylePr w:type="firstCol">
      <w:pPr>
        <w:jc w:val="right"/>
      </w:pPr>
      <w:rPr>
        <w:rFonts w:ascii="Arial" w:hAnsi="Arial"/>
        <w:i/>
        <w:color w:val="B0ACAB" w:themeColor="text1" w:themeTint="80" w:themeShade="95"/>
        <w:sz w:val="22"/>
      </w:rPr>
      <w:tblPr/>
      <w:tcPr>
        <w:tcBorders>
          <w:top w:val="none" w:sz="0" w:space="0" w:color="auto"/>
          <w:left w:val="none" w:sz="0" w:space="0" w:color="auto"/>
          <w:bottom w:val="none" w:sz="0" w:space="0" w:color="auto"/>
          <w:right w:val="single" w:sz="4" w:space="0" w:color="B0ACAB" w:themeColor="text1" w:themeTint="80"/>
        </w:tcBorders>
        <w:shd w:val="clear" w:color="FFFFFF" w:fill="auto"/>
      </w:tcPr>
    </w:tblStylePr>
    <w:tblStylePr w:type="lastCol">
      <w:rPr>
        <w:rFonts w:ascii="Arial" w:hAnsi="Arial"/>
        <w:i/>
        <w:color w:val="B0ACAB" w:themeColor="text1" w:themeTint="80" w:themeShade="95"/>
        <w:sz w:val="22"/>
      </w:rPr>
      <w:tblPr/>
      <w:tcPr>
        <w:tcBorders>
          <w:top w:val="none" w:sz="0" w:space="0" w:color="auto"/>
          <w:left w:val="single" w:sz="4" w:space="0" w:color="B0ACAB" w:themeColor="text1" w:themeTint="80"/>
          <w:bottom w:val="none" w:sz="0" w:space="0" w:color="auto"/>
          <w:right w:val="none" w:sz="0" w:space="0" w:color="auto"/>
        </w:tcBorders>
        <w:shd w:val="clear" w:color="FFFFFF" w:fill="auto"/>
      </w:tcPr>
    </w:tblStylePr>
    <w:tblStylePr w:type="band1Vert">
      <w:tblPr/>
      <w:tcPr>
        <w:shd w:val="clear" w:color="D7D5D5" w:themeColor="text1" w:themeTint="40" w:fill="D7D5D5" w:themeFill="text1" w:themeFillTint="40"/>
      </w:tcPr>
    </w:tblStylePr>
    <w:tblStylePr w:type="band1Horz">
      <w:rPr>
        <w:rFonts w:ascii="Arial" w:hAnsi="Arial"/>
        <w:color w:val="B0ACAB" w:themeColor="text1" w:themeTint="80" w:themeShade="95"/>
        <w:sz w:val="22"/>
      </w:rPr>
      <w:tblPr/>
      <w:tcPr>
        <w:shd w:val="clear" w:color="D7D5D5" w:themeColor="text1" w:themeTint="40" w:fill="D7D5D5" w:themeFill="text1" w:themeFillTint="40"/>
      </w:tcPr>
    </w:tblStylePr>
    <w:tblStylePr w:type="band2Horz">
      <w:rPr>
        <w:rFonts w:ascii="Arial" w:hAnsi="Arial"/>
        <w:color w:val="B0ACAB"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F3C345" w:themeColor="accent1"/>
      </w:tblBorders>
    </w:tblPr>
    <w:tblStylePr w:type="firstRow">
      <w:rPr>
        <w:rFonts w:ascii="Arial" w:hAnsi="Arial"/>
        <w:i/>
        <w:color w:val="AA7E0B" w:themeColor="accent1" w:themeShade="95"/>
        <w:sz w:val="22"/>
      </w:rPr>
      <w:tblPr/>
      <w:tcPr>
        <w:tcBorders>
          <w:top w:val="none" w:sz="0" w:space="0" w:color="auto"/>
          <w:left w:val="none" w:sz="0" w:space="0" w:color="auto"/>
          <w:bottom w:val="single" w:sz="4" w:space="0" w:color="F3C345" w:themeColor="accent1"/>
          <w:right w:val="none" w:sz="0" w:space="0" w:color="auto"/>
        </w:tcBorders>
        <w:shd w:val="clear" w:color="000000" w:themeColor="light1" w:fill="000000" w:themeFill="light1"/>
      </w:tcPr>
    </w:tblStylePr>
    <w:tblStylePr w:type="lastRow">
      <w:rPr>
        <w:rFonts w:ascii="Arial" w:hAnsi="Arial"/>
        <w:i/>
        <w:color w:val="AA7E0B" w:themeColor="accent1" w:themeShade="95"/>
        <w:sz w:val="22"/>
      </w:rPr>
      <w:tblPr/>
      <w:tcPr>
        <w:tcBorders>
          <w:top w:val="single" w:sz="4" w:space="0" w:color="F3C345" w:themeColor="accent1"/>
          <w:left w:val="none" w:sz="0" w:space="0" w:color="auto"/>
          <w:bottom w:val="none" w:sz="0" w:space="0" w:color="auto"/>
          <w:right w:val="none" w:sz="0" w:space="0" w:color="auto"/>
        </w:tcBorders>
        <w:shd w:val="clear" w:color="000000" w:themeColor="light1" w:fill="000000" w:themeFill="light1"/>
      </w:tcPr>
    </w:tblStylePr>
    <w:tblStylePr w:type="firstCol">
      <w:pPr>
        <w:jc w:val="right"/>
      </w:pPr>
      <w:rPr>
        <w:rFonts w:ascii="Arial" w:hAnsi="Arial"/>
        <w:i/>
        <w:color w:val="AA7E0B" w:themeColor="accent1" w:themeShade="95"/>
        <w:sz w:val="22"/>
      </w:rPr>
      <w:tblPr/>
      <w:tcPr>
        <w:tcBorders>
          <w:top w:val="none" w:sz="0" w:space="0" w:color="auto"/>
          <w:left w:val="none" w:sz="0" w:space="0" w:color="auto"/>
          <w:bottom w:val="none" w:sz="0" w:space="0" w:color="auto"/>
          <w:right w:val="single" w:sz="4" w:space="0" w:color="F3C345" w:themeColor="accent1"/>
        </w:tcBorders>
        <w:shd w:val="clear" w:color="FFFFFF" w:fill="auto"/>
      </w:tcPr>
    </w:tblStylePr>
    <w:tblStylePr w:type="lastCol">
      <w:rPr>
        <w:rFonts w:ascii="Arial" w:hAnsi="Arial"/>
        <w:i/>
        <w:color w:val="AA7E0B" w:themeColor="accent1" w:themeShade="95"/>
        <w:sz w:val="22"/>
      </w:rPr>
      <w:tblPr/>
      <w:tcPr>
        <w:tcBorders>
          <w:top w:val="none" w:sz="0" w:space="0" w:color="auto"/>
          <w:left w:val="single" w:sz="4" w:space="0" w:color="F3C345" w:themeColor="accent1"/>
          <w:bottom w:val="none" w:sz="0" w:space="0" w:color="auto"/>
          <w:right w:val="none" w:sz="0" w:space="0" w:color="auto"/>
        </w:tcBorders>
        <w:shd w:val="clear" w:color="FFFFFF" w:fill="auto"/>
      </w:tcPr>
    </w:tblStylePr>
    <w:tblStylePr w:type="band1Vert">
      <w:tblPr/>
      <w:tcPr>
        <w:shd w:val="clear" w:color="FCEFD0" w:themeColor="accent1" w:themeTint="40" w:fill="FCEFD0" w:themeFill="accent1" w:themeFillTint="40"/>
      </w:tcPr>
    </w:tblStylePr>
    <w:tblStylePr w:type="band1Horz">
      <w:rPr>
        <w:rFonts w:ascii="Arial" w:hAnsi="Arial"/>
        <w:color w:val="AA7E0B" w:themeColor="accent1" w:themeShade="95"/>
        <w:sz w:val="22"/>
      </w:rPr>
      <w:tblPr/>
      <w:tcPr>
        <w:shd w:val="clear" w:color="FCEFD0" w:themeColor="accent1" w:themeTint="40" w:fill="FCEFD0" w:themeFill="accent1" w:themeFillTint="40"/>
      </w:tcPr>
    </w:tblStylePr>
    <w:tblStylePr w:type="band2Horz">
      <w:rPr>
        <w:rFonts w:ascii="Arial" w:hAnsi="Arial"/>
        <w:color w:val="AA7E0B"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AE6B7" w:themeColor="accent2" w:themeTint="97"/>
      </w:tblBorders>
    </w:tblPr>
    <w:tblStylePr w:type="firstRow">
      <w:rPr>
        <w:rFonts w:ascii="Arial" w:hAnsi="Arial"/>
        <w:i/>
        <w:color w:val="FAE6B7" w:themeColor="accent2" w:themeTint="97" w:themeShade="95"/>
        <w:sz w:val="22"/>
      </w:rPr>
      <w:tblPr/>
      <w:tcPr>
        <w:tcBorders>
          <w:top w:val="none" w:sz="0" w:space="0" w:color="auto"/>
          <w:left w:val="none" w:sz="0" w:space="0" w:color="auto"/>
          <w:bottom w:val="single" w:sz="4" w:space="0" w:color="FAE6B7" w:themeColor="accent2" w:themeTint="97"/>
          <w:right w:val="none" w:sz="0" w:space="0" w:color="auto"/>
        </w:tcBorders>
        <w:shd w:val="clear" w:color="000000" w:themeColor="light1" w:fill="000000" w:themeFill="light1"/>
      </w:tcPr>
    </w:tblStylePr>
    <w:tblStylePr w:type="lastRow">
      <w:rPr>
        <w:rFonts w:ascii="Arial" w:hAnsi="Arial"/>
        <w:i/>
        <w:color w:val="FAE6B7" w:themeColor="accent2" w:themeTint="97" w:themeShade="95"/>
        <w:sz w:val="22"/>
      </w:rPr>
      <w:tblPr/>
      <w:tcPr>
        <w:tcBorders>
          <w:top w:val="single" w:sz="4" w:space="0" w:color="FAE6B7" w:themeColor="accent2" w:themeTint="97"/>
          <w:left w:val="none" w:sz="0" w:space="0" w:color="auto"/>
          <w:bottom w:val="none" w:sz="0" w:space="0" w:color="auto"/>
          <w:right w:val="none" w:sz="0" w:space="0" w:color="auto"/>
        </w:tcBorders>
        <w:shd w:val="clear" w:color="000000" w:themeColor="light1" w:fill="000000" w:themeFill="light1"/>
      </w:tcPr>
    </w:tblStylePr>
    <w:tblStylePr w:type="firstCol">
      <w:pPr>
        <w:jc w:val="right"/>
      </w:pPr>
      <w:rPr>
        <w:rFonts w:ascii="Arial" w:hAnsi="Arial"/>
        <w:i/>
        <w:color w:val="FAE6B7" w:themeColor="accent2" w:themeTint="97" w:themeShade="95"/>
        <w:sz w:val="22"/>
      </w:rPr>
      <w:tblPr/>
      <w:tcPr>
        <w:tcBorders>
          <w:top w:val="none" w:sz="0" w:space="0" w:color="auto"/>
          <w:left w:val="none" w:sz="0" w:space="0" w:color="auto"/>
          <w:bottom w:val="none" w:sz="0" w:space="0" w:color="auto"/>
          <w:right w:val="single" w:sz="4" w:space="0" w:color="FAE6B7" w:themeColor="accent2" w:themeTint="97"/>
        </w:tcBorders>
        <w:shd w:val="clear" w:color="FFFFFF" w:fill="auto"/>
      </w:tcPr>
    </w:tblStylePr>
    <w:tblStylePr w:type="lastCol">
      <w:rPr>
        <w:rFonts w:ascii="Arial" w:hAnsi="Arial"/>
        <w:i/>
        <w:color w:val="FAE6B7" w:themeColor="accent2" w:themeTint="97" w:themeShade="95"/>
        <w:sz w:val="22"/>
      </w:rPr>
      <w:tblPr/>
      <w:tcPr>
        <w:tcBorders>
          <w:top w:val="none" w:sz="0" w:space="0" w:color="auto"/>
          <w:left w:val="single" w:sz="4" w:space="0" w:color="FAE6B7" w:themeColor="accent2" w:themeTint="97"/>
          <w:bottom w:val="none" w:sz="0" w:space="0" w:color="auto"/>
          <w:right w:val="none" w:sz="0" w:space="0" w:color="auto"/>
        </w:tcBorders>
        <w:shd w:val="clear" w:color="FFFFFF" w:fill="auto"/>
      </w:tcPr>
    </w:tblStylePr>
    <w:tblStylePr w:type="band1Vert">
      <w:tblPr/>
      <w:tcPr>
        <w:shd w:val="clear" w:color="FDF4E0" w:themeColor="accent2" w:themeTint="40" w:fill="FDF4E0" w:themeFill="accent2" w:themeFillTint="40"/>
      </w:tcPr>
    </w:tblStylePr>
    <w:tblStylePr w:type="band1Horz">
      <w:rPr>
        <w:rFonts w:ascii="Arial" w:hAnsi="Arial"/>
        <w:color w:val="FAE6B7" w:themeColor="accent2" w:themeTint="97" w:themeShade="95"/>
        <w:sz w:val="22"/>
      </w:rPr>
      <w:tblPr/>
      <w:tcPr>
        <w:shd w:val="clear" w:color="FDF4E0" w:themeColor="accent2" w:themeTint="40" w:fill="FDF4E0" w:themeFill="accent2" w:themeFillTint="40"/>
      </w:tcPr>
    </w:tblStylePr>
    <w:tblStylePr w:type="band2Horz">
      <w:rPr>
        <w:rFonts w:ascii="Arial" w:hAnsi="Arial"/>
        <w:color w:val="FAE6B7"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FFF5E5" w:themeColor="accent3" w:themeTint="98"/>
      </w:tblBorders>
    </w:tblPr>
    <w:tblStylePr w:type="firstRow">
      <w:rPr>
        <w:rFonts w:ascii="Arial" w:hAnsi="Arial"/>
        <w:i/>
        <w:color w:val="FFF5E5" w:themeColor="accent3" w:themeTint="98" w:themeShade="95"/>
        <w:sz w:val="22"/>
      </w:rPr>
      <w:tblPr/>
      <w:tcPr>
        <w:tcBorders>
          <w:top w:val="none" w:sz="0" w:space="0" w:color="auto"/>
          <w:left w:val="none" w:sz="0" w:space="0" w:color="auto"/>
          <w:bottom w:val="single" w:sz="4" w:space="0" w:color="FFF5E5" w:themeColor="accent3" w:themeTint="98"/>
          <w:right w:val="none" w:sz="0" w:space="0" w:color="auto"/>
        </w:tcBorders>
        <w:shd w:val="clear" w:color="000000" w:themeColor="light1" w:fill="000000" w:themeFill="light1"/>
      </w:tcPr>
    </w:tblStylePr>
    <w:tblStylePr w:type="lastRow">
      <w:rPr>
        <w:rFonts w:ascii="Arial" w:hAnsi="Arial"/>
        <w:i/>
        <w:color w:val="FFF5E5" w:themeColor="accent3" w:themeTint="98" w:themeShade="95"/>
        <w:sz w:val="22"/>
      </w:rPr>
      <w:tblPr/>
      <w:tcPr>
        <w:tcBorders>
          <w:top w:val="single" w:sz="4" w:space="0" w:color="FFF5E5" w:themeColor="accent3" w:themeTint="98"/>
          <w:left w:val="none" w:sz="0" w:space="0" w:color="auto"/>
          <w:bottom w:val="none" w:sz="0" w:space="0" w:color="auto"/>
          <w:right w:val="none" w:sz="0" w:space="0" w:color="auto"/>
        </w:tcBorders>
        <w:shd w:val="clear" w:color="000000" w:themeColor="light1" w:fill="000000" w:themeFill="light1"/>
      </w:tcPr>
    </w:tblStylePr>
    <w:tblStylePr w:type="firstCol">
      <w:pPr>
        <w:jc w:val="right"/>
      </w:pPr>
      <w:rPr>
        <w:rFonts w:ascii="Arial" w:hAnsi="Arial"/>
        <w:i/>
        <w:color w:val="FFF5E5" w:themeColor="accent3" w:themeTint="98" w:themeShade="95"/>
        <w:sz w:val="22"/>
      </w:rPr>
      <w:tblPr/>
      <w:tcPr>
        <w:tcBorders>
          <w:top w:val="none" w:sz="0" w:space="0" w:color="auto"/>
          <w:left w:val="none" w:sz="0" w:space="0" w:color="auto"/>
          <w:bottom w:val="none" w:sz="0" w:space="0" w:color="auto"/>
          <w:right w:val="single" w:sz="4" w:space="0" w:color="FFF5E5" w:themeColor="accent3" w:themeTint="98"/>
        </w:tcBorders>
        <w:shd w:val="clear" w:color="FFFFFF" w:fill="auto"/>
      </w:tcPr>
    </w:tblStylePr>
    <w:tblStylePr w:type="lastCol">
      <w:rPr>
        <w:rFonts w:ascii="Arial" w:hAnsi="Arial"/>
        <w:i/>
        <w:color w:val="FFF5E5" w:themeColor="accent3" w:themeTint="98" w:themeShade="95"/>
        <w:sz w:val="22"/>
      </w:rPr>
      <w:tblPr/>
      <w:tcPr>
        <w:tcBorders>
          <w:top w:val="none" w:sz="0" w:space="0" w:color="auto"/>
          <w:left w:val="single" w:sz="4" w:space="0" w:color="FFF5E5" w:themeColor="accent3" w:themeTint="98"/>
          <w:bottom w:val="none" w:sz="0" w:space="0" w:color="auto"/>
          <w:right w:val="none" w:sz="0" w:space="0" w:color="auto"/>
        </w:tcBorders>
        <w:shd w:val="clear" w:color="FFFFFF" w:fill="auto"/>
      </w:tcPr>
    </w:tblStylePr>
    <w:tblStylePr w:type="band1Vert">
      <w:tblPr/>
      <w:tcPr>
        <w:shd w:val="clear" w:color="FFFBF4" w:themeColor="accent3" w:themeTint="40" w:fill="FFFBF4" w:themeFill="accent3" w:themeFillTint="40"/>
      </w:tcPr>
    </w:tblStylePr>
    <w:tblStylePr w:type="band1Horz">
      <w:rPr>
        <w:rFonts w:ascii="Arial" w:hAnsi="Arial"/>
        <w:color w:val="FFF5E5" w:themeColor="accent3" w:themeTint="98" w:themeShade="95"/>
        <w:sz w:val="22"/>
      </w:rPr>
      <w:tblPr/>
      <w:tcPr>
        <w:shd w:val="clear" w:color="FFFBF4" w:themeColor="accent3" w:themeTint="40" w:fill="FFFBF4" w:themeFill="accent3" w:themeFillTint="40"/>
      </w:tcPr>
    </w:tblStylePr>
    <w:tblStylePr w:type="band2Horz">
      <w:rPr>
        <w:rFonts w:ascii="Arial" w:hAnsi="Arial"/>
        <w:color w:val="FFF5E5"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92D763" w:themeColor="accent4" w:themeTint="9A"/>
      </w:tblBorders>
    </w:tblPr>
    <w:tblStylePr w:type="firstRow">
      <w:rPr>
        <w:rFonts w:ascii="Arial" w:hAnsi="Arial"/>
        <w:i/>
        <w:color w:val="92D763" w:themeColor="accent4" w:themeTint="9A" w:themeShade="95"/>
        <w:sz w:val="22"/>
      </w:rPr>
      <w:tblPr/>
      <w:tcPr>
        <w:tcBorders>
          <w:top w:val="none" w:sz="0" w:space="0" w:color="auto"/>
          <w:left w:val="none" w:sz="0" w:space="0" w:color="auto"/>
          <w:bottom w:val="single" w:sz="4" w:space="0" w:color="92D763" w:themeColor="accent4" w:themeTint="9A"/>
          <w:right w:val="none" w:sz="0" w:space="0" w:color="auto"/>
        </w:tcBorders>
        <w:shd w:val="clear" w:color="000000" w:themeColor="light1" w:fill="000000" w:themeFill="light1"/>
      </w:tcPr>
    </w:tblStylePr>
    <w:tblStylePr w:type="lastRow">
      <w:rPr>
        <w:rFonts w:ascii="Arial" w:hAnsi="Arial"/>
        <w:i/>
        <w:color w:val="92D763" w:themeColor="accent4" w:themeTint="9A" w:themeShade="95"/>
        <w:sz w:val="22"/>
      </w:rPr>
      <w:tblPr/>
      <w:tcPr>
        <w:tcBorders>
          <w:top w:val="single" w:sz="4" w:space="0" w:color="92D763" w:themeColor="accent4" w:themeTint="9A"/>
          <w:left w:val="none" w:sz="0" w:space="0" w:color="auto"/>
          <w:bottom w:val="none" w:sz="0" w:space="0" w:color="auto"/>
          <w:right w:val="none" w:sz="0" w:space="0" w:color="auto"/>
        </w:tcBorders>
        <w:shd w:val="clear" w:color="000000" w:themeColor="light1" w:fill="000000" w:themeFill="light1"/>
      </w:tcPr>
    </w:tblStylePr>
    <w:tblStylePr w:type="firstCol">
      <w:pPr>
        <w:jc w:val="right"/>
      </w:pPr>
      <w:rPr>
        <w:rFonts w:ascii="Arial" w:hAnsi="Arial"/>
        <w:i/>
        <w:color w:val="92D763" w:themeColor="accent4" w:themeTint="9A" w:themeShade="95"/>
        <w:sz w:val="22"/>
      </w:rPr>
      <w:tblPr/>
      <w:tcPr>
        <w:tcBorders>
          <w:top w:val="none" w:sz="0" w:space="0" w:color="auto"/>
          <w:left w:val="none" w:sz="0" w:space="0" w:color="auto"/>
          <w:bottom w:val="none" w:sz="0" w:space="0" w:color="auto"/>
          <w:right w:val="single" w:sz="4" w:space="0" w:color="92D763" w:themeColor="accent4" w:themeTint="9A"/>
        </w:tcBorders>
        <w:shd w:val="clear" w:color="FFFFFF" w:fill="auto"/>
      </w:tcPr>
    </w:tblStylePr>
    <w:tblStylePr w:type="lastCol">
      <w:rPr>
        <w:rFonts w:ascii="Arial" w:hAnsi="Arial"/>
        <w:i/>
        <w:color w:val="92D763" w:themeColor="accent4" w:themeTint="9A" w:themeShade="95"/>
        <w:sz w:val="22"/>
      </w:rPr>
      <w:tblPr/>
      <w:tcPr>
        <w:tcBorders>
          <w:top w:val="none" w:sz="0" w:space="0" w:color="auto"/>
          <w:left w:val="single" w:sz="4" w:space="0" w:color="92D763" w:themeColor="accent4" w:themeTint="9A"/>
          <w:bottom w:val="none" w:sz="0" w:space="0" w:color="auto"/>
          <w:right w:val="none" w:sz="0" w:space="0" w:color="auto"/>
        </w:tcBorders>
        <w:shd w:val="clear" w:color="FFFFFF" w:fill="auto"/>
      </w:tcPr>
    </w:tblStylePr>
    <w:tblStylePr w:type="band1Vert">
      <w:tblPr/>
      <w:tcPr>
        <w:shd w:val="clear" w:color="D2EEBE" w:themeColor="accent4" w:themeTint="40" w:fill="D2EEBE" w:themeFill="accent4" w:themeFillTint="40"/>
      </w:tcPr>
    </w:tblStylePr>
    <w:tblStylePr w:type="band1Horz">
      <w:rPr>
        <w:rFonts w:ascii="Arial" w:hAnsi="Arial"/>
        <w:color w:val="92D763" w:themeColor="accent4" w:themeTint="9A" w:themeShade="95"/>
        <w:sz w:val="22"/>
      </w:rPr>
      <w:tblPr/>
      <w:tcPr>
        <w:shd w:val="clear" w:color="D2EEBE" w:themeColor="accent4" w:themeTint="40" w:fill="D2EEBE" w:themeFill="accent4" w:themeFillTint="40"/>
      </w:tcPr>
    </w:tblStylePr>
    <w:tblStylePr w:type="band2Horz">
      <w:rPr>
        <w:rFonts w:ascii="Arial" w:hAnsi="Arial"/>
        <w:color w:val="92D763"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BBD0A1" w:themeColor="accent5" w:themeTint="9A"/>
      </w:tblBorders>
    </w:tblPr>
    <w:tblStylePr w:type="firstRow">
      <w:rPr>
        <w:rFonts w:ascii="Arial" w:hAnsi="Arial"/>
        <w:i/>
        <w:color w:val="BBD0A1" w:themeColor="accent5" w:themeTint="9A" w:themeShade="95"/>
        <w:sz w:val="22"/>
      </w:rPr>
      <w:tblPr/>
      <w:tcPr>
        <w:tcBorders>
          <w:top w:val="none" w:sz="0" w:space="0" w:color="auto"/>
          <w:left w:val="none" w:sz="0" w:space="0" w:color="auto"/>
          <w:bottom w:val="single" w:sz="4" w:space="0" w:color="BBD0A1" w:themeColor="accent5" w:themeTint="9A"/>
          <w:right w:val="none" w:sz="0" w:space="0" w:color="auto"/>
        </w:tcBorders>
        <w:shd w:val="clear" w:color="000000" w:themeColor="light1" w:fill="000000" w:themeFill="light1"/>
      </w:tcPr>
    </w:tblStylePr>
    <w:tblStylePr w:type="lastRow">
      <w:rPr>
        <w:rFonts w:ascii="Arial" w:hAnsi="Arial"/>
        <w:i/>
        <w:color w:val="BBD0A1" w:themeColor="accent5" w:themeTint="9A" w:themeShade="95"/>
        <w:sz w:val="22"/>
      </w:rPr>
      <w:tblPr/>
      <w:tcPr>
        <w:tcBorders>
          <w:top w:val="single" w:sz="4" w:space="0" w:color="BBD0A1" w:themeColor="accent5" w:themeTint="9A"/>
          <w:left w:val="none" w:sz="0" w:space="0" w:color="auto"/>
          <w:bottom w:val="none" w:sz="0" w:space="0" w:color="auto"/>
          <w:right w:val="none" w:sz="0" w:space="0" w:color="auto"/>
        </w:tcBorders>
        <w:shd w:val="clear" w:color="000000" w:themeColor="light1" w:fill="000000" w:themeFill="light1"/>
      </w:tcPr>
    </w:tblStylePr>
    <w:tblStylePr w:type="firstCol">
      <w:pPr>
        <w:jc w:val="right"/>
      </w:pPr>
      <w:rPr>
        <w:rFonts w:ascii="Arial" w:hAnsi="Arial"/>
        <w:i/>
        <w:color w:val="BBD0A1" w:themeColor="accent5" w:themeTint="9A" w:themeShade="95"/>
        <w:sz w:val="22"/>
      </w:rPr>
      <w:tblPr/>
      <w:tcPr>
        <w:tcBorders>
          <w:top w:val="none" w:sz="0" w:space="0" w:color="auto"/>
          <w:left w:val="none" w:sz="0" w:space="0" w:color="auto"/>
          <w:bottom w:val="none" w:sz="0" w:space="0" w:color="auto"/>
          <w:right w:val="single" w:sz="4" w:space="0" w:color="BBD0A1" w:themeColor="accent5" w:themeTint="9A"/>
        </w:tcBorders>
        <w:shd w:val="clear" w:color="FFFFFF" w:fill="auto"/>
      </w:tcPr>
    </w:tblStylePr>
    <w:tblStylePr w:type="lastCol">
      <w:rPr>
        <w:rFonts w:ascii="Arial" w:hAnsi="Arial"/>
        <w:i/>
        <w:color w:val="BBD0A1" w:themeColor="accent5" w:themeTint="9A" w:themeShade="95"/>
        <w:sz w:val="22"/>
      </w:rPr>
      <w:tblPr/>
      <w:tcPr>
        <w:tcBorders>
          <w:top w:val="none" w:sz="0" w:space="0" w:color="auto"/>
          <w:left w:val="single" w:sz="4" w:space="0" w:color="BBD0A1" w:themeColor="accent5" w:themeTint="9A"/>
          <w:bottom w:val="none" w:sz="0" w:space="0" w:color="auto"/>
          <w:right w:val="none" w:sz="0" w:space="0" w:color="auto"/>
        </w:tcBorders>
        <w:shd w:val="clear" w:color="FFFFFF" w:fill="auto"/>
      </w:tcPr>
    </w:tblStylePr>
    <w:tblStylePr w:type="band1Vert">
      <w:tblPr/>
      <w:tcPr>
        <w:shd w:val="clear" w:color="E2EBD8" w:themeColor="accent5" w:themeTint="40" w:fill="E2EBD8" w:themeFill="accent5" w:themeFillTint="40"/>
      </w:tcPr>
    </w:tblStylePr>
    <w:tblStylePr w:type="band1Horz">
      <w:rPr>
        <w:rFonts w:ascii="Arial" w:hAnsi="Arial"/>
        <w:color w:val="BBD0A1" w:themeColor="accent5" w:themeTint="9A" w:themeShade="95"/>
        <w:sz w:val="22"/>
      </w:rPr>
      <w:tblPr/>
      <w:tcPr>
        <w:shd w:val="clear" w:color="E2EBD8" w:themeColor="accent5" w:themeTint="40" w:fill="E2EBD8" w:themeFill="accent5" w:themeFillTint="40"/>
      </w:tcPr>
    </w:tblStylePr>
    <w:tblStylePr w:type="band2Horz">
      <w:rPr>
        <w:rFonts w:ascii="Arial" w:hAnsi="Arial"/>
        <w:color w:val="BBD0A1"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E3EBD7" w:themeColor="accent6" w:themeTint="98"/>
      </w:tblBorders>
    </w:tblPr>
    <w:tblStylePr w:type="firstRow">
      <w:rPr>
        <w:rFonts w:ascii="Arial" w:hAnsi="Arial"/>
        <w:i/>
        <w:color w:val="E3EBD7" w:themeColor="accent6" w:themeTint="98" w:themeShade="95"/>
        <w:sz w:val="22"/>
      </w:rPr>
      <w:tblPr/>
      <w:tcPr>
        <w:tcBorders>
          <w:top w:val="none" w:sz="0" w:space="0" w:color="auto"/>
          <w:left w:val="none" w:sz="0" w:space="0" w:color="auto"/>
          <w:bottom w:val="single" w:sz="4" w:space="0" w:color="E3EBD7" w:themeColor="accent6" w:themeTint="98"/>
          <w:right w:val="none" w:sz="0" w:space="0" w:color="auto"/>
        </w:tcBorders>
        <w:shd w:val="clear" w:color="000000" w:themeColor="light1" w:fill="000000" w:themeFill="light1"/>
      </w:tcPr>
    </w:tblStylePr>
    <w:tblStylePr w:type="lastRow">
      <w:rPr>
        <w:rFonts w:ascii="Arial" w:hAnsi="Arial"/>
        <w:i/>
        <w:color w:val="E3EBD7" w:themeColor="accent6" w:themeTint="98" w:themeShade="95"/>
        <w:sz w:val="22"/>
      </w:rPr>
      <w:tblPr/>
      <w:tcPr>
        <w:tcBorders>
          <w:top w:val="single" w:sz="4" w:space="0" w:color="E3EBD7" w:themeColor="accent6" w:themeTint="98"/>
          <w:left w:val="none" w:sz="0" w:space="0" w:color="auto"/>
          <w:bottom w:val="none" w:sz="0" w:space="0" w:color="auto"/>
          <w:right w:val="none" w:sz="0" w:space="0" w:color="auto"/>
        </w:tcBorders>
        <w:shd w:val="clear" w:color="000000" w:themeColor="light1" w:fill="000000" w:themeFill="light1"/>
      </w:tcPr>
    </w:tblStylePr>
    <w:tblStylePr w:type="firstCol">
      <w:pPr>
        <w:jc w:val="right"/>
      </w:pPr>
      <w:rPr>
        <w:rFonts w:ascii="Arial" w:hAnsi="Arial"/>
        <w:i/>
        <w:color w:val="E3EBD7" w:themeColor="accent6" w:themeTint="98" w:themeShade="95"/>
        <w:sz w:val="22"/>
      </w:rPr>
      <w:tblPr/>
      <w:tcPr>
        <w:tcBorders>
          <w:top w:val="none" w:sz="0" w:space="0" w:color="auto"/>
          <w:left w:val="none" w:sz="0" w:space="0" w:color="auto"/>
          <w:bottom w:val="none" w:sz="0" w:space="0" w:color="auto"/>
          <w:right w:val="single" w:sz="4" w:space="0" w:color="E3EBD7" w:themeColor="accent6" w:themeTint="98"/>
        </w:tcBorders>
        <w:shd w:val="clear" w:color="FFFFFF" w:fill="auto"/>
      </w:tcPr>
    </w:tblStylePr>
    <w:tblStylePr w:type="lastCol">
      <w:rPr>
        <w:rFonts w:ascii="Arial" w:hAnsi="Arial"/>
        <w:i/>
        <w:color w:val="E3EBD7" w:themeColor="accent6" w:themeTint="98" w:themeShade="95"/>
        <w:sz w:val="22"/>
      </w:rPr>
      <w:tblPr/>
      <w:tcPr>
        <w:tcBorders>
          <w:top w:val="none" w:sz="0" w:space="0" w:color="auto"/>
          <w:left w:val="single" w:sz="4" w:space="0" w:color="E3EBD7" w:themeColor="accent6" w:themeTint="98"/>
          <w:bottom w:val="none" w:sz="0" w:space="0" w:color="auto"/>
          <w:right w:val="none" w:sz="0" w:space="0" w:color="auto"/>
        </w:tcBorders>
        <w:shd w:val="clear" w:color="FFFFFF" w:fill="auto"/>
      </w:tcPr>
    </w:tblStylePr>
    <w:tblStylePr w:type="band1Vert">
      <w:tblPr/>
      <w:tcPr>
        <w:shd w:val="clear" w:color="F3F6EE" w:themeColor="accent6" w:themeTint="40" w:fill="F3F6EE" w:themeFill="accent6" w:themeFillTint="40"/>
      </w:tcPr>
    </w:tblStylePr>
    <w:tblStylePr w:type="band1Horz">
      <w:rPr>
        <w:rFonts w:ascii="Arial" w:hAnsi="Arial"/>
        <w:color w:val="E3EBD7" w:themeColor="accent6" w:themeTint="98" w:themeShade="95"/>
        <w:sz w:val="22"/>
      </w:rPr>
      <w:tblPr/>
      <w:tcPr>
        <w:shd w:val="clear" w:color="F3F6EE" w:themeColor="accent6" w:themeTint="40" w:fill="F3F6EE" w:themeFill="accent6" w:themeFillTint="40"/>
      </w:tcPr>
    </w:tblStylePr>
    <w:tblStylePr w:type="band2Horz">
      <w:rPr>
        <w:rFonts w:ascii="Arial" w:hAnsi="Arial"/>
        <w:color w:val="E3EBD7"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B0ACAB" w:themeColor="text1" w:themeTint="80" w:fill="B0ACAB" w:themeFill="text1" w:themeFillTint="80"/>
      </w:tcPr>
    </w:tblStylePr>
    <w:tblStylePr w:type="lastRow">
      <w:rPr>
        <w:rFonts w:ascii="Arial" w:hAnsi="Arial"/>
        <w:color w:val="F2F2F2"/>
        <w:sz w:val="22"/>
      </w:rPr>
      <w:tblPr/>
      <w:tcPr>
        <w:shd w:val="clear" w:color="B0ACAB" w:themeColor="text1" w:themeTint="80" w:fill="B0ACAB" w:themeFill="text1" w:themeFillTint="80"/>
      </w:tcPr>
    </w:tblStylePr>
    <w:tblStylePr w:type="firstCol">
      <w:rPr>
        <w:rFonts w:ascii="Arial" w:hAnsi="Arial"/>
        <w:color w:val="F2F2F2"/>
        <w:sz w:val="22"/>
      </w:rPr>
      <w:tblPr/>
      <w:tcPr>
        <w:shd w:val="clear" w:color="B0ACAB" w:themeColor="text1" w:themeTint="80" w:fill="B0ACAB" w:themeFill="text1" w:themeFillTint="80"/>
      </w:tcPr>
    </w:tblStylePr>
    <w:tblStylePr w:type="lastCol">
      <w:rPr>
        <w:rFonts w:ascii="Arial" w:hAnsi="Arial"/>
        <w:color w:val="F2F2F2"/>
        <w:sz w:val="22"/>
      </w:rPr>
      <w:tblPr/>
      <w:tcPr>
        <w:shd w:val="clear" w:color="B0ACAB" w:themeColor="text1" w:themeTint="80" w:fill="B0ACAB"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7F6F6" w:themeColor="text1" w:themeTint="0D" w:fill="F7F6F6"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7F6F6" w:themeColor="text1" w:themeTint="0D" w:fill="F7F6F6"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4C754" w:themeColor="accent1" w:themeTint="EA" w:fill="F4C754" w:themeFill="accent1" w:themeFillTint="EA"/>
      </w:tcPr>
    </w:tblStylePr>
    <w:tblStylePr w:type="lastRow">
      <w:rPr>
        <w:rFonts w:ascii="Arial" w:hAnsi="Arial"/>
        <w:color w:val="F2F2F2"/>
        <w:sz w:val="22"/>
      </w:rPr>
      <w:tblPr/>
      <w:tcPr>
        <w:shd w:val="clear" w:color="F4C754" w:themeColor="accent1" w:themeTint="EA" w:fill="F4C754" w:themeFill="accent1" w:themeFillTint="EA"/>
      </w:tcPr>
    </w:tblStylePr>
    <w:tblStylePr w:type="firstCol">
      <w:rPr>
        <w:rFonts w:ascii="Arial" w:hAnsi="Arial"/>
        <w:color w:val="F2F2F2"/>
        <w:sz w:val="22"/>
      </w:rPr>
      <w:tblPr/>
      <w:tcPr>
        <w:shd w:val="clear" w:color="F4C754" w:themeColor="accent1" w:themeTint="EA" w:fill="F4C754" w:themeFill="accent1" w:themeFillTint="EA"/>
      </w:tcPr>
    </w:tblStylePr>
    <w:tblStylePr w:type="lastCol">
      <w:rPr>
        <w:rFonts w:ascii="Arial" w:hAnsi="Arial"/>
        <w:color w:val="F2F2F2"/>
        <w:sz w:val="22"/>
      </w:rPr>
      <w:tblPr/>
      <w:tcPr>
        <w:shd w:val="clear" w:color="F4C754" w:themeColor="accent1" w:themeTint="EA" w:fill="F4C754"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BECC4" w:themeColor="accent1" w:themeTint="50" w:fill="FBECC4"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BECC4" w:themeColor="accent1" w:themeTint="50" w:fill="FBECC4"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AE6B7" w:themeColor="accent2" w:themeTint="97" w:fill="FAE6B7" w:themeFill="accent2" w:themeFillTint="97"/>
      </w:tcPr>
    </w:tblStylePr>
    <w:tblStylePr w:type="lastRow">
      <w:rPr>
        <w:rFonts w:ascii="Arial" w:hAnsi="Arial"/>
        <w:color w:val="F2F2F2"/>
        <w:sz w:val="22"/>
      </w:rPr>
      <w:tblPr/>
      <w:tcPr>
        <w:shd w:val="clear" w:color="FAE6B7" w:themeColor="accent2" w:themeTint="97" w:fill="FAE6B7" w:themeFill="accent2" w:themeFillTint="97"/>
      </w:tcPr>
    </w:tblStylePr>
    <w:tblStylePr w:type="firstCol">
      <w:rPr>
        <w:rFonts w:ascii="Arial" w:hAnsi="Arial"/>
        <w:color w:val="F2F2F2"/>
        <w:sz w:val="22"/>
      </w:rPr>
      <w:tblPr/>
      <w:tcPr>
        <w:shd w:val="clear" w:color="FAE6B7" w:themeColor="accent2" w:themeTint="97" w:fill="FAE6B7" w:themeFill="accent2" w:themeFillTint="97"/>
      </w:tcPr>
    </w:tblStylePr>
    <w:tblStylePr w:type="lastCol">
      <w:rPr>
        <w:rFonts w:ascii="Arial" w:hAnsi="Arial"/>
        <w:color w:val="F2F2F2"/>
        <w:sz w:val="22"/>
      </w:rPr>
      <w:tblPr/>
      <w:tcPr>
        <w:shd w:val="clear" w:color="FAE6B7" w:themeColor="accent2" w:themeTint="97" w:fill="FAE6B7"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DF6E7" w:themeColor="accent2" w:themeTint="32" w:fill="FDF6E7"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DF6E7" w:themeColor="accent2" w:themeTint="32" w:fill="FDF6E7"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EFD5" w:themeColor="accent3" w:themeTint="FE" w:fill="FFEFD5" w:themeFill="accent3" w:themeFillTint="FE"/>
      </w:tcPr>
    </w:tblStylePr>
    <w:tblStylePr w:type="lastRow">
      <w:rPr>
        <w:rFonts w:ascii="Arial" w:hAnsi="Arial"/>
        <w:color w:val="F2F2F2"/>
        <w:sz w:val="22"/>
      </w:rPr>
      <w:tblPr/>
      <w:tcPr>
        <w:shd w:val="clear" w:color="FFEFD5" w:themeColor="accent3" w:themeTint="FE" w:fill="FFEFD5" w:themeFill="accent3" w:themeFillTint="FE"/>
      </w:tcPr>
    </w:tblStylePr>
    <w:tblStylePr w:type="firstCol">
      <w:rPr>
        <w:rFonts w:ascii="Arial" w:hAnsi="Arial"/>
        <w:color w:val="F2F2F2"/>
        <w:sz w:val="22"/>
      </w:rPr>
      <w:tblPr/>
      <w:tcPr>
        <w:shd w:val="clear" w:color="FFEFD5" w:themeColor="accent3" w:themeTint="FE" w:fill="FFEFD5" w:themeFill="accent3" w:themeFillTint="FE"/>
      </w:tcPr>
    </w:tblStylePr>
    <w:tblStylePr w:type="lastCol">
      <w:rPr>
        <w:rFonts w:ascii="Arial" w:hAnsi="Arial"/>
        <w:color w:val="F2F2F2"/>
        <w:sz w:val="22"/>
      </w:rPr>
      <w:tblPr/>
      <w:tcPr>
        <w:shd w:val="clear" w:color="FFEFD5" w:themeColor="accent3" w:themeTint="FE" w:fill="FFEFD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BF6" w:themeColor="accent3" w:themeTint="34" w:fill="FFFBF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BF6" w:themeColor="accent3" w:themeTint="34" w:fill="FFFBF6"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92D763" w:themeColor="accent4" w:themeTint="9A" w:fill="92D763" w:themeFill="accent4" w:themeFillTint="9A"/>
      </w:tcPr>
    </w:tblStylePr>
    <w:tblStylePr w:type="lastRow">
      <w:rPr>
        <w:rFonts w:ascii="Arial" w:hAnsi="Arial"/>
        <w:color w:val="F2F2F2"/>
        <w:sz w:val="22"/>
      </w:rPr>
      <w:tblPr/>
      <w:tcPr>
        <w:shd w:val="clear" w:color="92D763" w:themeColor="accent4" w:themeTint="9A" w:fill="92D763" w:themeFill="accent4" w:themeFillTint="9A"/>
      </w:tcPr>
    </w:tblStylePr>
    <w:tblStylePr w:type="firstCol">
      <w:rPr>
        <w:rFonts w:ascii="Arial" w:hAnsi="Arial"/>
        <w:color w:val="F2F2F2"/>
        <w:sz w:val="22"/>
      </w:rPr>
      <w:tblPr/>
      <w:tcPr>
        <w:shd w:val="clear" w:color="92D763" w:themeColor="accent4" w:themeTint="9A" w:fill="92D763" w:themeFill="accent4" w:themeFillTint="9A"/>
      </w:tcPr>
    </w:tblStylePr>
    <w:tblStylePr w:type="lastCol">
      <w:rPr>
        <w:rFonts w:ascii="Arial" w:hAnsi="Arial"/>
        <w:color w:val="F2F2F2"/>
        <w:sz w:val="22"/>
      </w:rPr>
      <w:tblPr/>
      <w:tcPr>
        <w:shd w:val="clear" w:color="92D763" w:themeColor="accent4" w:themeTint="9A" w:fill="92D76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DAF1CA" w:themeColor="accent4" w:themeTint="34" w:fill="DAF1C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F1CA" w:themeColor="accent4" w:themeTint="34" w:fill="DAF1CA"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8FB264" w:themeColor="accent5" w:fill="8FB264" w:themeFill="accent5"/>
      </w:tcPr>
    </w:tblStylePr>
    <w:tblStylePr w:type="lastRow">
      <w:rPr>
        <w:rFonts w:ascii="Arial" w:hAnsi="Arial"/>
        <w:color w:val="F2F2F2"/>
        <w:sz w:val="22"/>
      </w:rPr>
      <w:tblPr/>
      <w:tcPr>
        <w:shd w:val="clear" w:color="8FB264" w:themeColor="accent5" w:fill="8FB264" w:themeFill="accent5"/>
      </w:tcPr>
    </w:tblStylePr>
    <w:tblStylePr w:type="firstCol">
      <w:rPr>
        <w:rFonts w:ascii="Arial" w:hAnsi="Arial"/>
        <w:color w:val="F2F2F2"/>
        <w:sz w:val="22"/>
      </w:rPr>
      <w:tblPr/>
      <w:tcPr>
        <w:shd w:val="clear" w:color="8FB264" w:themeColor="accent5" w:fill="8FB264" w:themeFill="accent5"/>
      </w:tcPr>
    </w:tblStylePr>
    <w:tblStylePr w:type="lastCol">
      <w:rPr>
        <w:rFonts w:ascii="Arial" w:hAnsi="Arial"/>
        <w:color w:val="F2F2F2"/>
        <w:sz w:val="22"/>
      </w:rPr>
      <w:tblPr/>
      <w:tcPr>
        <w:shd w:val="clear" w:color="8FB264" w:themeColor="accent5" w:fill="8FB26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E8EFDF" w:themeColor="accent5" w:themeTint="34" w:fill="E8EFD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E8EFDF" w:themeColor="accent5" w:themeTint="34" w:fill="E8EFDF"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D1DEBD" w:themeColor="accent6" w:fill="D1DEBD" w:themeFill="accent6"/>
      </w:tcPr>
    </w:tblStylePr>
    <w:tblStylePr w:type="lastRow">
      <w:rPr>
        <w:rFonts w:ascii="Arial" w:hAnsi="Arial"/>
        <w:color w:val="F2F2F2"/>
        <w:sz w:val="22"/>
      </w:rPr>
      <w:tblPr/>
      <w:tcPr>
        <w:shd w:val="clear" w:color="D1DEBD" w:themeColor="accent6" w:fill="D1DEBD" w:themeFill="accent6"/>
      </w:tcPr>
    </w:tblStylePr>
    <w:tblStylePr w:type="firstCol">
      <w:rPr>
        <w:rFonts w:ascii="Arial" w:hAnsi="Arial"/>
        <w:color w:val="F2F2F2"/>
        <w:sz w:val="22"/>
      </w:rPr>
      <w:tblPr/>
      <w:tcPr>
        <w:shd w:val="clear" w:color="D1DEBD" w:themeColor="accent6" w:fill="D1DEBD" w:themeFill="accent6"/>
      </w:tcPr>
    </w:tblStylePr>
    <w:tblStylePr w:type="lastCol">
      <w:rPr>
        <w:rFonts w:ascii="Arial" w:hAnsi="Arial"/>
        <w:color w:val="F2F2F2"/>
        <w:sz w:val="22"/>
      </w:rPr>
      <w:tblPr/>
      <w:tcPr>
        <w:shd w:val="clear" w:color="D1DEBD" w:themeColor="accent6" w:fill="D1DEBD"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5F8F1" w:themeColor="accent6" w:themeTint="34" w:fill="F5F8F1"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5F8F1" w:themeColor="accent6" w:themeTint="34" w:fill="F5F8F1"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eastAsia="fr-FR"/>
    </w:rPr>
    <w:tblPr>
      <w:tblStyleRowBandSize w:val="1"/>
      <w:tblStyleColBandSize w:val="1"/>
      <w:tblBorders>
        <w:top w:val="single" w:sz="4" w:space="0" w:color="989493" w:themeColor="text1" w:themeTint="A6"/>
        <w:left w:val="single" w:sz="4" w:space="0" w:color="989493" w:themeColor="text1" w:themeTint="A6"/>
        <w:bottom w:val="single" w:sz="4" w:space="0" w:color="989493" w:themeColor="text1" w:themeTint="A6"/>
        <w:right w:val="single" w:sz="4" w:space="0" w:color="989493" w:themeColor="text1" w:themeTint="A6"/>
        <w:insideH w:val="single" w:sz="4" w:space="0" w:color="989493" w:themeColor="text1" w:themeTint="A6"/>
        <w:insideV w:val="single" w:sz="4" w:space="0" w:color="989493" w:themeColor="text1" w:themeTint="A6"/>
      </w:tblBorders>
    </w:tblPr>
    <w:tblStylePr w:type="firstRow">
      <w:rPr>
        <w:rFonts w:ascii="Arial" w:hAnsi="Arial"/>
        <w:color w:val="F2F2F2"/>
        <w:sz w:val="22"/>
      </w:rPr>
      <w:tblPr/>
      <w:tcPr>
        <w:shd w:val="clear" w:color="B0ACAB" w:themeColor="text1" w:themeTint="80" w:fill="B0ACAB" w:themeFill="text1" w:themeFillTint="80"/>
      </w:tcPr>
    </w:tblStylePr>
    <w:tblStylePr w:type="lastRow">
      <w:rPr>
        <w:rFonts w:ascii="Arial" w:hAnsi="Arial"/>
        <w:color w:val="F2F2F2"/>
        <w:sz w:val="22"/>
      </w:rPr>
      <w:tblPr/>
      <w:tcPr>
        <w:shd w:val="clear" w:color="B0ACAB" w:themeColor="text1" w:themeTint="80" w:fill="B0ACAB" w:themeFill="text1" w:themeFillTint="80"/>
      </w:tcPr>
    </w:tblStylePr>
    <w:tblStylePr w:type="firstCol">
      <w:rPr>
        <w:rFonts w:ascii="Arial" w:hAnsi="Arial"/>
        <w:color w:val="F2F2F2"/>
        <w:sz w:val="22"/>
      </w:rPr>
      <w:tblPr/>
      <w:tcPr>
        <w:shd w:val="clear" w:color="B0ACAB" w:themeColor="text1" w:themeTint="80" w:fill="B0ACAB" w:themeFill="text1" w:themeFillTint="80"/>
      </w:tcPr>
    </w:tblStylePr>
    <w:tblStylePr w:type="lastCol">
      <w:rPr>
        <w:rFonts w:ascii="Arial" w:hAnsi="Arial"/>
        <w:color w:val="F2F2F2"/>
        <w:sz w:val="22"/>
      </w:rPr>
      <w:tblPr/>
      <w:tcPr>
        <w:shd w:val="clear" w:color="B0ACAB" w:themeColor="text1" w:themeTint="80" w:fill="B0ACAB"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7F6F6" w:themeColor="text1" w:themeTint="0D" w:fill="F7F6F6"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7F6F6" w:themeColor="text1" w:themeTint="0D" w:fill="F7F6F6"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rPr>
    <w:tblPr>
      <w:tblStyleRowBandSize w:val="1"/>
      <w:tblStyleColBandSize w:val="1"/>
      <w:tblBorders>
        <w:top w:val="single" w:sz="4" w:space="0" w:color="AA7E0B" w:themeColor="accent1" w:themeShade="95"/>
        <w:left w:val="single" w:sz="4" w:space="0" w:color="AA7E0B" w:themeColor="accent1" w:themeShade="95"/>
        <w:bottom w:val="single" w:sz="4" w:space="0" w:color="AA7E0B" w:themeColor="accent1" w:themeShade="95"/>
        <w:right w:val="single" w:sz="4" w:space="0" w:color="AA7E0B" w:themeColor="accent1" w:themeShade="95"/>
        <w:insideH w:val="single" w:sz="4" w:space="0" w:color="AA7E0B" w:themeColor="accent1" w:themeShade="95"/>
        <w:insideV w:val="single" w:sz="4" w:space="0" w:color="AA7E0B" w:themeColor="accent1" w:themeShade="95"/>
      </w:tblBorders>
    </w:tblPr>
    <w:tblStylePr w:type="firstRow">
      <w:rPr>
        <w:rFonts w:ascii="Arial" w:hAnsi="Arial"/>
        <w:color w:val="F2F2F2"/>
        <w:sz w:val="22"/>
      </w:rPr>
      <w:tblPr/>
      <w:tcPr>
        <w:shd w:val="clear" w:color="F4C754" w:themeColor="accent1" w:themeTint="EA" w:fill="F4C754" w:themeFill="accent1" w:themeFillTint="EA"/>
      </w:tcPr>
    </w:tblStylePr>
    <w:tblStylePr w:type="lastRow">
      <w:rPr>
        <w:rFonts w:ascii="Arial" w:hAnsi="Arial"/>
        <w:color w:val="F2F2F2"/>
        <w:sz w:val="22"/>
      </w:rPr>
      <w:tblPr/>
      <w:tcPr>
        <w:shd w:val="clear" w:color="F4C754" w:themeColor="accent1" w:themeTint="EA" w:fill="F4C754" w:themeFill="accent1" w:themeFillTint="EA"/>
      </w:tcPr>
    </w:tblStylePr>
    <w:tblStylePr w:type="firstCol">
      <w:rPr>
        <w:rFonts w:ascii="Arial" w:hAnsi="Arial"/>
        <w:color w:val="F2F2F2"/>
        <w:sz w:val="22"/>
      </w:rPr>
      <w:tblPr/>
      <w:tcPr>
        <w:shd w:val="clear" w:color="F4C754" w:themeColor="accent1" w:themeTint="EA" w:fill="F4C754" w:themeFill="accent1" w:themeFillTint="EA"/>
      </w:tcPr>
    </w:tblStylePr>
    <w:tblStylePr w:type="lastCol">
      <w:rPr>
        <w:rFonts w:ascii="Arial" w:hAnsi="Arial"/>
        <w:color w:val="F2F2F2"/>
        <w:sz w:val="22"/>
      </w:rPr>
      <w:tblPr/>
      <w:tcPr>
        <w:shd w:val="clear" w:color="F4C754" w:themeColor="accent1" w:themeTint="EA" w:fill="F4C754"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BECC4" w:themeColor="accent1" w:themeTint="50" w:fill="FBECC4"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BECC4" w:themeColor="accent1" w:themeTint="50" w:fill="FBECC4"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rPr>
    <w:tblPr>
      <w:tblStyleRowBandSize w:val="1"/>
      <w:tblStyleColBandSize w:val="1"/>
      <w:tblBorders>
        <w:top w:val="single" w:sz="4" w:space="0" w:color="D0950D" w:themeColor="accent2" w:themeShade="95"/>
        <w:left w:val="single" w:sz="4" w:space="0" w:color="D0950D" w:themeColor="accent2" w:themeShade="95"/>
        <w:bottom w:val="single" w:sz="4" w:space="0" w:color="D0950D" w:themeColor="accent2" w:themeShade="95"/>
        <w:right w:val="single" w:sz="4" w:space="0" w:color="D0950D" w:themeColor="accent2" w:themeShade="95"/>
        <w:insideH w:val="single" w:sz="4" w:space="0" w:color="D0950D" w:themeColor="accent2" w:themeShade="95"/>
        <w:insideV w:val="single" w:sz="4" w:space="0" w:color="D0950D" w:themeColor="accent2" w:themeShade="95"/>
      </w:tblBorders>
    </w:tblPr>
    <w:tblStylePr w:type="firstRow">
      <w:rPr>
        <w:rFonts w:ascii="Arial" w:hAnsi="Arial"/>
        <w:color w:val="F2F2F2"/>
        <w:sz w:val="22"/>
      </w:rPr>
      <w:tblPr/>
      <w:tcPr>
        <w:shd w:val="clear" w:color="FAE6B7" w:themeColor="accent2" w:themeTint="97" w:fill="FAE6B7" w:themeFill="accent2" w:themeFillTint="97"/>
      </w:tcPr>
    </w:tblStylePr>
    <w:tblStylePr w:type="lastRow">
      <w:rPr>
        <w:rFonts w:ascii="Arial" w:hAnsi="Arial"/>
        <w:color w:val="F2F2F2"/>
        <w:sz w:val="22"/>
      </w:rPr>
      <w:tblPr/>
      <w:tcPr>
        <w:shd w:val="clear" w:color="FAE6B7" w:themeColor="accent2" w:themeTint="97" w:fill="FAE6B7" w:themeFill="accent2" w:themeFillTint="97"/>
      </w:tcPr>
    </w:tblStylePr>
    <w:tblStylePr w:type="firstCol">
      <w:rPr>
        <w:rFonts w:ascii="Arial" w:hAnsi="Arial"/>
        <w:color w:val="F2F2F2"/>
        <w:sz w:val="22"/>
      </w:rPr>
      <w:tblPr/>
      <w:tcPr>
        <w:shd w:val="clear" w:color="FAE6B7" w:themeColor="accent2" w:themeTint="97" w:fill="FAE6B7" w:themeFill="accent2" w:themeFillTint="97"/>
      </w:tcPr>
    </w:tblStylePr>
    <w:tblStylePr w:type="lastCol">
      <w:rPr>
        <w:rFonts w:ascii="Arial" w:hAnsi="Arial"/>
        <w:color w:val="F2F2F2"/>
        <w:sz w:val="22"/>
      </w:rPr>
      <w:tblPr/>
      <w:tcPr>
        <w:shd w:val="clear" w:color="FAE6B7" w:themeColor="accent2" w:themeTint="97" w:fill="FAE6B7"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DF6E7" w:themeColor="accent2" w:themeTint="32" w:fill="FDF6E7"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DF6E7" w:themeColor="accent2" w:themeTint="32" w:fill="FDF6E7"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rPr>
    <w:tblPr>
      <w:tblStyleRowBandSize w:val="1"/>
      <w:tblStyleColBandSize w:val="1"/>
      <w:tblBorders>
        <w:top w:val="single" w:sz="4" w:space="0" w:color="FFA912" w:themeColor="accent3" w:themeShade="95"/>
        <w:left w:val="single" w:sz="4" w:space="0" w:color="FFA912" w:themeColor="accent3" w:themeShade="95"/>
        <w:bottom w:val="single" w:sz="4" w:space="0" w:color="FFA912" w:themeColor="accent3" w:themeShade="95"/>
        <w:right w:val="single" w:sz="4" w:space="0" w:color="FFA912" w:themeColor="accent3" w:themeShade="95"/>
        <w:insideH w:val="single" w:sz="4" w:space="0" w:color="FFA912" w:themeColor="accent3" w:themeShade="95"/>
        <w:insideV w:val="single" w:sz="4" w:space="0" w:color="FFA912" w:themeColor="accent3" w:themeShade="95"/>
      </w:tblBorders>
    </w:tblPr>
    <w:tblStylePr w:type="firstRow">
      <w:rPr>
        <w:rFonts w:ascii="Arial" w:hAnsi="Arial"/>
        <w:color w:val="F2F2F2"/>
        <w:sz w:val="22"/>
      </w:rPr>
      <w:tblPr/>
      <w:tcPr>
        <w:shd w:val="clear" w:color="FFEFD5" w:themeColor="accent3" w:themeTint="FE" w:fill="FFEFD5" w:themeFill="accent3" w:themeFillTint="FE"/>
      </w:tcPr>
    </w:tblStylePr>
    <w:tblStylePr w:type="lastRow">
      <w:rPr>
        <w:rFonts w:ascii="Arial" w:hAnsi="Arial"/>
        <w:color w:val="F2F2F2"/>
        <w:sz w:val="22"/>
      </w:rPr>
      <w:tblPr/>
      <w:tcPr>
        <w:shd w:val="clear" w:color="FFEFD5" w:themeColor="accent3" w:themeTint="FE" w:fill="FFEFD5" w:themeFill="accent3" w:themeFillTint="FE"/>
      </w:tcPr>
    </w:tblStylePr>
    <w:tblStylePr w:type="firstCol">
      <w:rPr>
        <w:rFonts w:ascii="Arial" w:hAnsi="Arial"/>
        <w:color w:val="F2F2F2"/>
        <w:sz w:val="22"/>
      </w:rPr>
      <w:tblPr/>
      <w:tcPr>
        <w:shd w:val="clear" w:color="FFEFD5" w:themeColor="accent3" w:themeTint="FE" w:fill="FFEFD5" w:themeFill="accent3" w:themeFillTint="FE"/>
      </w:tcPr>
    </w:tblStylePr>
    <w:tblStylePr w:type="lastCol">
      <w:rPr>
        <w:rFonts w:ascii="Arial" w:hAnsi="Arial"/>
        <w:color w:val="F2F2F2"/>
        <w:sz w:val="22"/>
      </w:rPr>
      <w:tblPr/>
      <w:tcPr>
        <w:shd w:val="clear" w:color="FFEFD5" w:themeColor="accent3" w:themeTint="FE" w:fill="FFEFD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BF6" w:themeColor="accent3" w:themeTint="34" w:fill="FFFBF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BF6" w:themeColor="accent3" w:themeTint="34" w:fill="FFFBF6"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rPr>
    <w:tblPr>
      <w:tblStyleRowBandSize w:val="1"/>
      <w:tblStyleColBandSize w:val="1"/>
      <w:tblBorders>
        <w:top w:val="single" w:sz="4" w:space="0" w:color="305716" w:themeColor="accent4" w:themeShade="95"/>
        <w:left w:val="single" w:sz="4" w:space="0" w:color="305716" w:themeColor="accent4" w:themeShade="95"/>
        <w:bottom w:val="single" w:sz="4" w:space="0" w:color="305716" w:themeColor="accent4" w:themeShade="95"/>
        <w:right w:val="single" w:sz="4" w:space="0" w:color="305716" w:themeColor="accent4" w:themeShade="95"/>
        <w:insideH w:val="single" w:sz="4" w:space="0" w:color="305716" w:themeColor="accent4" w:themeShade="95"/>
        <w:insideV w:val="single" w:sz="4" w:space="0" w:color="305716" w:themeColor="accent4" w:themeShade="95"/>
      </w:tblBorders>
    </w:tblPr>
    <w:tblStylePr w:type="firstRow">
      <w:rPr>
        <w:rFonts w:ascii="Arial" w:hAnsi="Arial"/>
        <w:color w:val="F2F2F2"/>
        <w:sz w:val="22"/>
      </w:rPr>
      <w:tblPr/>
      <w:tcPr>
        <w:shd w:val="clear" w:color="92D763" w:themeColor="accent4" w:themeTint="9A" w:fill="92D763" w:themeFill="accent4" w:themeFillTint="9A"/>
      </w:tcPr>
    </w:tblStylePr>
    <w:tblStylePr w:type="lastRow">
      <w:rPr>
        <w:rFonts w:ascii="Arial" w:hAnsi="Arial"/>
        <w:color w:val="F2F2F2"/>
        <w:sz w:val="22"/>
      </w:rPr>
      <w:tblPr/>
      <w:tcPr>
        <w:shd w:val="clear" w:color="92D763" w:themeColor="accent4" w:themeTint="9A" w:fill="92D763" w:themeFill="accent4" w:themeFillTint="9A"/>
      </w:tcPr>
    </w:tblStylePr>
    <w:tblStylePr w:type="firstCol">
      <w:rPr>
        <w:rFonts w:ascii="Arial" w:hAnsi="Arial"/>
        <w:color w:val="F2F2F2"/>
        <w:sz w:val="22"/>
      </w:rPr>
      <w:tblPr/>
      <w:tcPr>
        <w:shd w:val="clear" w:color="92D763" w:themeColor="accent4" w:themeTint="9A" w:fill="92D763" w:themeFill="accent4" w:themeFillTint="9A"/>
      </w:tcPr>
    </w:tblStylePr>
    <w:tblStylePr w:type="lastCol">
      <w:rPr>
        <w:rFonts w:ascii="Arial" w:hAnsi="Arial"/>
        <w:color w:val="F2F2F2"/>
        <w:sz w:val="22"/>
      </w:rPr>
      <w:tblPr/>
      <w:tcPr>
        <w:shd w:val="clear" w:color="92D763" w:themeColor="accent4" w:themeTint="9A" w:fill="92D76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DAF1CA" w:themeColor="accent4" w:themeTint="34" w:fill="DAF1C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F1CA" w:themeColor="accent4" w:themeTint="34" w:fill="DAF1CA"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rPr>
    <w:tblPr>
      <w:tblStyleRowBandSize w:val="1"/>
      <w:tblStyleColBandSize w:val="1"/>
      <w:tblBorders>
        <w:top w:val="single" w:sz="4" w:space="0" w:color="536C36" w:themeColor="accent5" w:themeShade="95"/>
        <w:left w:val="single" w:sz="4" w:space="0" w:color="536C36" w:themeColor="accent5" w:themeShade="95"/>
        <w:bottom w:val="single" w:sz="4" w:space="0" w:color="536C36" w:themeColor="accent5" w:themeShade="95"/>
        <w:right w:val="single" w:sz="4" w:space="0" w:color="536C36" w:themeColor="accent5" w:themeShade="95"/>
        <w:insideH w:val="single" w:sz="4" w:space="0" w:color="536C36" w:themeColor="accent5" w:themeShade="95"/>
        <w:insideV w:val="single" w:sz="4" w:space="0" w:color="536C36" w:themeColor="accent5" w:themeShade="95"/>
      </w:tblBorders>
    </w:tblPr>
    <w:tblStylePr w:type="firstRow">
      <w:rPr>
        <w:rFonts w:ascii="Arial" w:hAnsi="Arial"/>
        <w:color w:val="F2F2F2"/>
        <w:sz w:val="22"/>
      </w:rPr>
      <w:tblPr/>
      <w:tcPr>
        <w:shd w:val="clear" w:color="8FB264" w:themeColor="accent5" w:fill="8FB264" w:themeFill="accent5"/>
      </w:tcPr>
    </w:tblStylePr>
    <w:tblStylePr w:type="lastRow">
      <w:rPr>
        <w:rFonts w:ascii="Arial" w:hAnsi="Arial"/>
        <w:color w:val="F2F2F2"/>
        <w:sz w:val="22"/>
      </w:rPr>
      <w:tblPr/>
      <w:tcPr>
        <w:shd w:val="clear" w:color="8FB264" w:themeColor="accent5" w:fill="8FB264" w:themeFill="accent5"/>
      </w:tcPr>
    </w:tblStylePr>
    <w:tblStylePr w:type="firstCol">
      <w:rPr>
        <w:rFonts w:ascii="Arial" w:hAnsi="Arial"/>
        <w:color w:val="F2F2F2"/>
        <w:sz w:val="22"/>
      </w:rPr>
      <w:tblPr/>
      <w:tcPr>
        <w:shd w:val="clear" w:color="8FB264" w:themeColor="accent5" w:fill="8FB264" w:themeFill="accent5"/>
      </w:tcPr>
    </w:tblStylePr>
    <w:tblStylePr w:type="lastCol">
      <w:rPr>
        <w:rFonts w:ascii="Arial" w:hAnsi="Arial"/>
        <w:color w:val="F2F2F2"/>
        <w:sz w:val="22"/>
      </w:rPr>
      <w:tblPr/>
      <w:tcPr>
        <w:shd w:val="clear" w:color="8FB264" w:themeColor="accent5" w:fill="8FB26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E8EFDF" w:themeColor="accent5" w:themeTint="34" w:fill="E8EFD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E8EFDF" w:themeColor="accent5" w:themeTint="34" w:fill="E8EFDF"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rPr>
    <w:tblPr>
      <w:tblStyleRowBandSize w:val="1"/>
      <w:tblStyleColBandSize w:val="1"/>
      <w:tblBorders>
        <w:top w:val="single" w:sz="4" w:space="0" w:color="80A050" w:themeColor="accent6" w:themeShade="95"/>
        <w:left w:val="single" w:sz="4" w:space="0" w:color="80A050" w:themeColor="accent6" w:themeShade="95"/>
        <w:bottom w:val="single" w:sz="4" w:space="0" w:color="80A050" w:themeColor="accent6" w:themeShade="95"/>
        <w:right w:val="single" w:sz="4" w:space="0" w:color="80A050" w:themeColor="accent6" w:themeShade="95"/>
        <w:insideH w:val="single" w:sz="4" w:space="0" w:color="80A050" w:themeColor="accent6" w:themeShade="95"/>
        <w:insideV w:val="single" w:sz="4" w:space="0" w:color="80A050" w:themeColor="accent6" w:themeShade="95"/>
      </w:tblBorders>
    </w:tblPr>
    <w:tblStylePr w:type="firstRow">
      <w:rPr>
        <w:rFonts w:ascii="Arial" w:hAnsi="Arial"/>
        <w:color w:val="F2F2F2"/>
        <w:sz w:val="22"/>
      </w:rPr>
      <w:tblPr/>
      <w:tcPr>
        <w:shd w:val="clear" w:color="D1DEBD" w:themeColor="accent6" w:fill="D1DEBD" w:themeFill="accent6"/>
      </w:tcPr>
    </w:tblStylePr>
    <w:tblStylePr w:type="lastRow">
      <w:rPr>
        <w:rFonts w:ascii="Arial" w:hAnsi="Arial"/>
        <w:color w:val="F2F2F2"/>
        <w:sz w:val="22"/>
      </w:rPr>
      <w:tblPr/>
      <w:tcPr>
        <w:shd w:val="clear" w:color="D1DEBD" w:themeColor="accent6" w:fill="D1DEBD" w:themeFill="accent6"/>
      </w:tcPr>
    </w:tblStylePr>
    <w:tblStylePr w:type="firstCol">
      <w:rPr>
        <w:rFonts w:ascii="Arial" w:hAnsi="Arial"/>
        <w:color w:val="F2F2F2"/>
        <w:sz w:val="22"/>
      </w:rPr>
      <w:tblPr/>
      <w:tcPr>
        <w:shd w:val="clear" w:color="D1DEBD" w:themeColor="accent6" w:fill="D1DEBD" w:themeFill="accent6"/>
      </w:tcPr>
    </w:tblStylePr>
    <w:tblStylePr w:type="lastCol">
      <w:rPr>
        <w:rFonts w:ascii="Arial" w:hAnsi="Arial"/>
        <w:color w:val="F2F2F2"/>
        <w:sz w:val="22"/>
      </w:rPr>
      <w:tblPr/>
      <w:tcPr>
        <w:shd w:val="clear" w:color="D1DEBD" w:themeColor="accent6" w:fill="D1DEBD"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5F8F1" w:themeColor="accent6" w:themeTint="34" w:fill="F5F8F1"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5F8F1" w:themeColor="accent6" w:themeTint="34" w:fill="F5F8F1"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E7E6E6" w:themeColor="text1" w:themeTint="26"/>
        <w:left w:val="single" w:sz="4" w:space="0" w:color="E7E6E6" w:themeColor="text1" w:themeTint="26"/>
        <w:bottom w:val="single" w:sz="4" w:space="0" w:color="E7E6E6" w:themeColor="text1" w:themeTint="26"/>
        <w:right w:val="single" w:sz="4" w:space="0" w:color="E7E6E6" w:themeColor="text1" w:themeTint="26"/>
        <w:insideH w:val="single" w:sz="4" w:space="0" w:color="E7E6E6" w:themeColor="text1" w:themeTint="26"/>
        <w:insideV w:val="single" w:sz="4" w:space="0" w:color="E7E6E6" w:themeColor="text1" w:themeTint="26"/>
      </w:tblBorders>
    </w:tblPr>
    <w:tblStylePr w:type="firstRow">
      <w:rPr>
        <w:rFonts w:ascii="Arial" w:hAnsi="Arial"/>
        <w:color w:val="404040"/>
        <w:sz w:val="22"/>
      </w:rPr>
      <w:tblPr/>
      <w:tcPr>
        <w:tcBorders>
          <w:bottom w:val="single" w:sz="12" w:space="0" w:color="B0ACAB" w:themeColor="text1" w:themeTint="80"/>
        </w:tcBorders>
      </w:tcPr>
    </w:tblStylePr>
    <w:tblStylePr w:type="lastRow">
      <w:rPr>
        <w:rFonts w:ascii="Arial" w:hAnsi="Arial"/>
        <w:color w:val="404040"/>
        <w:sz w:val="22"/>
      </w:rPr>
      <w:tblPr/>
      <w:tcPr>
        <w:tcBorders>
          <w:top w:val="single" w:sz="12" w:space="0" w:color="B0ACAB"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0ACAB" w:themeColor="text1" w:themeTint="80"/>
        </w:tcBorders>
      </w:tcPr>
    </w:tblStylePr>
    <w:tblStylePr w:type="band1Horz">
      <w:rPr>
        <w:rFonts w:ascii="Arial" w:hAnsi="Arial"/>
        <w:color w:val="404040"/>
        <w:sz w:val="22"/>
      </w:rPr>
      <w:tblPr/>
      <w:tcPr>
        <w:tcBorders>
          <w:top w:val="single" w:sz="4" w:space="0" w:color="E7E6E6" w:themeColor="text1" w:themeTint="26"/>
          <w:left w:val="single" w:sz="4" w:space="0" w:color="E7E6E6" w:themeColor="text1" w:themeTint="26"/>
          <w:bottom w:val="single" w:sz="4" w:space="0" w:color="E7E6E6" w:themeColor="text1" w:themeTint="26"/>
          <w:right w:val="single" w:sz="4" w:space="0" w:color="E7E6E6"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FAE6B3" w:themeColor="accent1" w:themeTint="67"/>
        <w:left w:val="single" w:sz="4" w:space="0" w:color="FAE6B3" w:themeColor="accent1" w:themeTint="67"/>
        <w:bottom w:val="single" w:sz="4" w:space="0" w:color="FAE6B3" w:themeColor="accent1" w:themeTint="67"/>
        <w:right w:val="single" w:sz="4" w:space="0" w:color="FAE6B3" w:themeColor="accent1" w:themeTint="67"/>
        <w:insideH w:val="single" w:sz="4" w:space="0" w:color="FAE6B3" w:themeColor="accent1" w:themeTint="67"/>
        <w:insideV w:val="single" w:sz="4" w:space="0" w:color="FAE6B3" w:themeColor="accent1" w:themeTint="67"/>
      </w:tblBorders>
    </w:tblPr>
    <w:tblStylePr w:type="firstRow">
      <w:rPr>
        <w:rFonts w:ascii="Arial" w:hAnsi="Arial"/>
        <w:color w:val="404040"/>
        <w:sz w:val="22"/>
      </w:rPr>
      <w:tblPr/>
      <w:tcPr>
        <w:tcBorders>
          <w:bottom w:val="single" w:sz="12" w:space="0" w:color="F3C345" w:themeColor="accent1"/>
        </w:tcBorders>
      </w:tcPr>
    </w:tblStylePr>
    <w:tblStylePr w:type="lastRow">
      <w:rPr>
        <w:rFonts w:ascii="Arial" w:hAnsi="Arial"/>
        <w:color w:val="404040"/>
        <w:sz w:val="22"/>
      </w:rPr>
      <w:tblPr/>
      <w:tcPr>
        <w:tcBorders>
          <w:top w:val="single" w:sz="12" w:space="0" w:color="F3C34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3C345" w:themeColor="accent1"/>
        </w:tcBorders>
      </w:tcPr>
    </w:tblStylePr>
    <w:tblStylePr w:type="band1Horz">
      <w:rPr>
        <w:rFonts w:ascii="Arial" w:hAnsi="Arial"/>
        <w:color w:val="404040"/>
        <w:sz w:val="22"/>
      </w:rPr>
      <w:tblPr/>
      <w:tcPr>
        <w:tcBorders>
          <w:top w:val="single" w:sz="4" w:space="0" w:color="FAE6B3" w:themeColor="accent1" w:themeTint="67"/>
          <w:left w:val="single" w:sz="4" w:space="0" w:color="FAE6B3" w:themeColor="accent1" w:themeTint="67"/>
          <w:bottom w:val="single" w:sz="4" w:space="0" w:color="FAE6B3" w:themeColor="accent1" w:themeTint="67"/>
          <w:right w:val="single" w:sz="4" w:space="0" w:color="FAE6B3"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BEDCD" w:themeColor="accent2" w:themeTint="67"/>
        <w:left w:val="single" w:sz="4" w:space="0" w:color="FBEDCD" w:themeColor="accent2" w:themeTint="67"/>
        <w:bottom w:val="single" w:sz="4" w:space="0" w:color="FBEDCD" w:themeColor="accent2" w:themeTint="67"/>
        <w:right w:val="single" w:sz="4" w:space="0" w:color="FBEDCD" w:themeColor="accent2" w:themeTint="67"/>
        <w:insideH w:val="single" w:sz="4" w:space="0" w:color="FBEDCD" w:themeColor="accent2" w:themeTint="67"/>
        <w:insideV w:val="single" w:sz="4" w:space="0" w:color="FBEDCD" w:themeColor="accent2" w:themeTint="67"/>
      </w:tblBorders>
    </w:tblPr>
    <w:tblStylePr w:type="firstRow">
      <w:rPr>
        <w:rFonts w:ascii="Arial" w:hAnsi="Arial"/>
        <w:color w:val="404040"/>
        <w:sz w:val="22"/>
      </w:rPr>
      <w:tblPr/>
      <w:tcPr>
        <w:tcBorders>
          <w:bottom w:val="single" w:sz="12" w:space="0" w:color="FAE6B7" w:themeColor="accent2" w:themeTint="97"/>
        </w:tcBorders>
      </w:tcPr>
    </w:tblStylePr>
    <w:tblStylePr w:type="lastRow">
      <w:rPr>
        <w:rFonts w:ascii="Arial" w:hAnsi="Arial"/>
        <w:color w:val="404040"/>
        <w:sz w:val="22"/>
      </w:rPr>
      <w:tblPr/>
      <w:tcPr>
        <w:tcBorders>
          <w:top w:val="single" w:sz="12" w:space="0" w:color="FAE6B7"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E6B7" w:themeColor="accent2" w:themeTint="97"/>
        </w:tcBorders>
      </w:tcPr>
    </w:tblStylePr>
    <w:tblStylePr w:type="band1Horz">
      <w:rPr>
        <w:rFonts w:ascii="Arial" w:hAnsi="Arial"/>
        <w:color w:val="404040"/>
        <w:sz w:val="22"/>
      </w:rPr>
      <w:tblPr/>
      <w:tcPr>
        <w:tcBorders>
          <w:top w:val="single" w:sz="4" w:space="0" w:color="FBEDCD" w:themeColor="accent2" w:themeTint="67"/>
          <w:left w:val="single" w:sz="4" w:space="0" w:color="FBEDCD" w:themeColor="accent2" w:themeTint="67"/>
          <w:bottom w:val="single" w:sz="4" w:space="0" w:color="FBEDCD" w:themeColor="accent2" w:themeTint="67"/>
          <w:right w:val="single" w:sz="4" w:space="0" w:color="FBEDCD"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FFF8EE" w:themeColor="accent3" w:themeTint="67"/>
        <w:left w:val="single" w:sz="4" w:space="0" w:color="FFF8EE" w:themeColor="accent3" w:themeTint="67"/>
        <w:bottom w:val="single" w:sz="4" w:space="0" w:color="FFF8EE" w:themeColor="accent3" w:themeTint="67"/>
        <w:right w:val="single" w:sz="4" w:space="0" w:color="FFF8EE" w:themeColor="accent3" w:themeTint="67"/>
        <w:insideH w:val="single" w:sz="4" w:space="0" w:color="FFF8EE" w:themeColor="accent3" w:themeTint="67"/>
        <w:insideV w:val="single" w:sz="4" w:space="0" w:color="FFF8EE" w:themeColor="accent3" w:themeTint="67"/>
      </w:tblBorders>
    </w:tblPr>
    <w:tblStylePr w:type="firstRow">
      <w:rPr>
        <w:rFonts w:ascii="Arial" w:hAnsi="Arial"/>
        <w:color w:val="404040"/>
        <w:sz w:val="22"/>
      </w:rPr>
      <w:tblPr/>
      <w:tcPr>
        <w:tcBorders>
          <w:bottom w:val="single" w:sz="12" w:space="0" w:color="FFF5E5" w:themeColor="accent3" w:themeTint="98"/>
        </w:tcBorders>
      </w:tcPr>
    </w:tblStylePr>
    <w:tblStylePr w:type="lastRow">
      <w:rPr>
        <w:rFonts w:ascii="Arial" w:hAnsi="Arial"/>
        <w:color w:val="404040"/>
        <w:sz w:val="22"/>
      </w:rPr>
      <w:tblPr/>
      <w:tcPr>
        <w:tcBorders>
          <w:top w:val="single" w:sz="12" w:space="0" w:color="FFF5E5"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5E5" w:themeColor="accent3" w:themeTint="98"/>
        </w:tcBorders>
      </w:tcPr>
    </w:tblStylePr>
    <w:tblStylePr w:type="band1Horz">
      <w:rPr>
        <w:rFonts w:ascii="Arial" w:hAnsi="Arial"/>
        <w:color w:val="404040"/>
        <w:sz w:val="22"/>
      </w:rPr>
      <w:tblPr/>
      <w:tcPr>
        <w:tcBorders>
          <w:top w:val="single" w:sz="4" w:space="0" w:color="FFF8EE" w:themeColor="accent3" w:themeTint="67"/>
          <w:left w:val="single" w:sz="4" w:space="0" w:color="FFF8EE" w:themeColor="accent3" w:themeTint="67"/>
          <w:bottom w:val="single" w:sz="4" w:space="0" w:color="FFF8EE" w:themeColor="accent3" w:themeTint="67"/>
          <w:right w:val="single" w:sz="4" w:space="0" w:color="FFF8EE"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B6E497" w:themeColor="accent4" w:themeTint="67"/>
        <w:left w:val="single" w:sz="4" w:space="0" w:color="B6E497" w:themeColor="accent4" w:themeTint="67"/>
        <w:bottom w:val="single" w:sz="4" w:space="0" w:color="B6E497" w:themeColor="accent4" w:themeTint="67"/>
        <w:right w:val="single" w:sz="4" w:space="0" w:color="B6E497" w:themeColor="accent4" w:themeTint="67"/>
        <w:insideH w:val="single" w:sz="4" w:space="0" w:color="B6E497" w:themeColor="accent4" w:themeTint="67"/>
        <w:insideV w:val="single" w:sz="4" w:space="0" w:color="B6E497" w:themeColor="accent4" w:themeTint="67"/>
      </w:tblBorders>
    </w:tblPr>
    <w:tblStylePr w:type="firstRow">
      <w:rPr>
        <w:rFonts w:ascii="Arial" w:hAnsi="Arial"/>
        <w:color w:val="404040"/>
        <w:sz w:val="22"/>
      </w:rPr>
      <w:tblPr/>
      <w:tcPr>
        <w:tcBorders>
          <w:bottom w:val="single" w:sz="12" w:space="0" w:color="92D763" w:themeColor="accent4" w:themeTint="9A"/>
        </w:tcBorders>
      </w:tcPr>
    </w:tblStylePr>
    <w:tblStylePr w:type="lastRow">
      <w:rPr>
        <w:rFonts w:ascii="Arial" w:hAnsi="Arial"/>
        <w:color w:val="404040"/>
        <w:sz w:val="22"/>
      </w:rPr>
      <w:tblPr/>
      <w:tcPr>
        <w:tcBorders>
          <w:top w:val="single" w:sz="12" w:space="0" w:color="92D763"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D763" w:themeColor="accent4" w:themeTint="9A"/>
        </w:tcBorders>
      </w:tcPr>
    </w:tblStylePr>
    <w:tblStylePr w:type="band1Horz">
      <w:rPr>
        <w:rFonts w:ascii="Arial" w:hAnsi="Arial"/>
        <w:color w:val="404040"/>
        <w:sz w:val="22"/>
      </w:rPr>
      <w:tblPr/>
      <w:tcPr>
        <w:tcBorders>
          <w:top w:val="single" w:sz="4" w:space="0" w:color="B6E497" w:themeColor="accent4" w:themeTint="67"/>
          <w:left w:val="single" w:sz="4" w:space="0" w:color="B6E497" w:themeColor="accent4" w:themeTint="67"/>
          <w:bottom w:val="single" w:sz="4" w:space="0" w:color="B6E497" w:themeColor="accent4" w:themeTint="67"/>
          <w:right w:val="single" w:sz="4" w:space="0" w:color="B6E497"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D1DFC0" w:themeColor="accent5" w:themeTint="67"/>
        <w:left w:val="single" w:sz="4" w:space="0" w:color="D1DFC0" w:themeColor="accent5" w:themeTint="67"/>
        <w:bottom w:val="single" w:sz="4" w:space="0" w:color="D1DFC0" w:themeColor="accent5" w:themeTint="67"/>
        <w:right w:val="single" w:sz="4" w:space="0" w:color="D1DFC0" w:themeColor="accent5" w:themeTint="67"/>
        <w:insideH w:val="single" w:sz="4" w:space="0" w:color="D1DFC0" w:themeColor="accent5" w:themeTint="67"/>
        <w:insideV w:val="single" w:sz="4" w:space="0" w:color="D1DFC0" w:themeColor="accent5" w:themeTint="67"/>
      </w:tblBorders>
    </w:tblPr>
    <w:tblStylePr w:type="firstRow">
      <w:rPr>
        <w:rFonts w:ascii="Arial" w:hAnsi="Arial"/>
        <w:color w:val="404040"/>
        <w:sz w:val="22"/>
      </w:rPr>
      <w:tblPr/>
      <w:tcPr>
        <w:tcBorders>
          <w:bottom w:val="single" w:sz="12" w:space="0" w:color="BBD0A1" w:themeColor="accent5" w:themeTint="9A"/>
        </w:tcBorders>
      </w:tcPr>
    </w:tblStylePr>
    <w:tblStylePr w:type="lastRow">
      <w:rPr>
        <w:rFonts w:ascii="Arial" w:hAnsi="Arial"/>
        <w:color w:val="404040"/>
        <w:sz w:val="22"/>
      </w:rPr>
      <w:tblPr/>
      <w:tcPr>
        <w:tcBorders>
          <w:top w:val="single" w:sz="12" w:space="0" w:color="BBD0A1"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BD0A1" w:themeColor="accent5" w:themeTint="9A"/>
        </w:tcBorders>
      </w:tcPr>
    </w:tblStylePr>
    <w:tblStylePr w:type="band1Horz">
      <w:rPr>
        <w:rFonts w:ascii="Arial" w:hAnsi="Arial"/>
        <w:color w:val="404040"/>
        <w:sz w:val="22"/>
      </w:rPr>
      <w:tblPr/>
      <w:tcPr>
        <w:tcBorders>
          <w:top w:val="single" w:sz="4" w:space="0" w:color="D1DFC0" w:themeColor="accent5" w:themeTint="67"/>
          <w:left w:val="single" w:sz="4" w:space="0" w:color="D1DFC0" w:themeColor="accent5" w:themeTint="67"/>
          <w:bottom w:val="single" w:sz="4" w:space="0" w:color="D1DFC0" w:themeColor="accent5" w:themeTint="67"/>
          <w:right w:val="single" w:sz="4" w:space="0" w:color="D1DFC0"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ECF1E4" w:themeColor="accent6" w:themeTint="67"/>
        <w:left w:val="single" w:sz="4" w:space="0" w:color="ECF1E4" w:themeColor="accent6" w:themeTint="67"/>
        <w:bottom w:val="single" w:sz="4" w:space="0" w:color="ECF1E4" w:themeColor="accent6" w:themeTint="67"/>
        <w:right w:val="single" w:sz="4" w:space="0" w:color="ECF1E4" w:themeColor="accent6" w:themeTint="67"/>
        <w:insideH w:val="single" w:sz="4" w:space="0" w:color="ECF1E4" w:themeColor="accent6" w:themeTint="67"/>
        <w:insideV w:val="single" w:sz="4" w:space="0" w:color="ECF1E4" w:themeColor="accent6" w:themeTint="67"/>
      </w:tblBorders>
    </w:tblPr>
    <w:tblStylePr w:type="firstRow">
      <w:rPr>
        <w:rFonts w:ascii="Arial" w:hAnsi="Arial"/>
        <w:color w:val="404040"/>
        <w:sz w:val="22"/>
      </w:rPr>
      <w:tblPr/>
      <w:tcPr>
        <w:tcBorders>
          <w:bottom w:val="single" w:sz="12" w:space="0" w:color="E3EBD7" w:themeColor="accent6" w:themeTint="98"/>
        </w:tcBorders>
      </w:tcPr>
    </w:tblStylePr>
    <w:tblStylePr w:type="lastRow">
      <w:rPr>
        <w:rFonts w:ascii="Arial" w:hAnsi="Arial"/>
        <w:color w:val="404040"/>
        <w:sz w:val="22"/>
      </w:rPr>
      <w:tblPr/>
      <w:tcPr>
        <w:tcBorders>
          <w:top w:val="single" w:sz="12" w:space="0" w:color="E3EBD7"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3EBD7" w:themeColor="accent6" w:themeTint="98"/>
        </w:tcBorders>
      </w:tcPr>
    </w:tblStylePr>
    <w:tblStylePr w:type="band1Horz">
      <w:rPr>
        <w:rFonts w:ascii="Arial" w:hAnsi="Arial"/>
        <w:color w:val="404040"/>
        <w:sz w:val="22"/>
      </w:rPr>
      <w:tblPr/>
      <w:tcPr>
        <w:tcBorders>
          <w:top w:val="single" w:sz="4" w:space="0" w:color="ECF1E4" w:themeColor="accent6" w:themeTint="67"/>
          <w:left w:val="single" w:sz="4" w:space="0" w:color="ECF1E4" w:themeColor="accent6" w:themeTint="67"/>
          <w:bottom w:val="single" w:sz="4" w:space="0" w:color="ECF1E4" w:themeColor="accent6" w:themeTint="67"/>
          <w:right w:val="single" w:sz="4" w:space="0" w:color="ECF1E4"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Titre1Car">
    <w:name w:val="Titre 1 Car"/>
    <w:basedOn w:val="Policepardfaut"/>
    <w:link w:val="Titre1"/>
    <w:uiPriority w:val="9"/>
    <w:rPr>
      <w:rFonts w:ascii="Arial" w:eastAsiaTheme="majorEastAsia" w:hAnsi="Arial" w:cstheme="majorBidi"/>
      <w:b/>
      <w:bCs/>
      <w:smallCaps/>
      <w:color w:val="F3C345" w:themeColor="accent1"/>
      <w:sz w:val="30"/>
      <w:szCs w:val="30"/>
      <w:lang w:eastAsia="fr-FR"/>
    </w:rPr>
  </w:style>
  <w:style w:type="character" w:customStyle="1" w:styleId="Titre2Car">
    <w:name w:val="Titre 2 Car"/>
    <w:aliases w:val="H2 Car,Sub-heading Car,paragraphe Car,Contrat 2 Car,Ctt Car,Heading 2 Car,Titre 21 Car,t2.T2 Car,l2 Car,I2 Car,Titre Parag Car,h2 Car,MainSection Car,Reset numbering Car,Heading 2-14 Car,T2 Car,Niveau 2 Car,Niveau2 Car,chapitre 1.1 Car"/>
    <w:basedOn w:val="Policepardfaut"/>
    <w:link w:val="Titre2"/>
    <w:uiPriority w:val="9"/>
    <w:rsid w:val="00D23224"/>
    <w:rPr>
      <w:rFonts w:eastAsiaTheme="majorEastAsia" w:cstheme="majorBidi"/>
      <w:b/>
      <w:bCs/>
      <w:color w:val="605C5B" w:themeColor="text1"/>
      <w:kern w:val="2"/>
      <w:sz w:val="28"/>
      <w:szCs w:val="28"/>
      <w14:ligatures w14:val="standardContextual"/>
    </w:rPr>
  </w:style>
  <w:style w:type="character" w:customStyle="1" w:styleId="Titre3Car">
    <w:name w:val="Titre 3 Car"/>
    <w:aliases w:val="Petits titres  AO Car,T3 Car,titre n3 Car,RC 1.1 Car,retrait2 Car,Ss titre 1 Car,Ss titre 2 Car,Titre 3 / 1.1. Car,Titre 3 (1.1.1.) Car,TITRE 3 (1.1.1.) Car,Titre 3 Annexes Car,retrait21 Car,§1.1.1 Car,§1.1.1. Car,InterTitre Car,CHAP3 Car"/>
    <w:basedOn w:val="Policepardfaut"/>
    <w:link w:val="Titre3"/>
    <w:uiPriority w:val="9"/>
    <w:rsid w:val="00464E2F"/>
    <w:rPr>
      <w:rFonts w:eastAsiaTheme="majorEastAsia" w:cstheme="majorBidi"/>
      <w:b/>
      <w:bCs/>
      <w:color w:val="605C5B" w:themeColor="text1"/>
      <w:kern w:val="2"/>
      <w:sz w:val="24"/>
      <w:szCs w:val="24"/>
      <w14:ligatures w14:val="standardContextual"/>
    </w:rPr>
  </w:style>
  <w:style w:type="character" w:customStyle="1" w:styleId="Titre4Car">
    <w:name w:val="Titre 4 Car"/>
    <w:basedOn w:val="Policepardfaut"/>
    <w:link w:val="Titre4"/>
    <w:uiPriority w:val="9"/>
    <w:rPr>
      <w:rFonts w:ascii="Arial" w:eastAsiaTheme="majorEastAsia" w:hAnsi="Arial" w:cstheme="majorBidi"/>
      <w:bCs/>
      <w:iCs/>
      <w:color w:val="605C5B" w:themeColor="text1"/>
      <w:lang w:eastAsia="fr-FR"/>
    </w:rPr>
  </w:style>
  <w:style w:type="character" w:customStyle="1" w:styleId="Titre5Car">
    <w:name w:val="Titre 5 Car"/>
    <w:basedOn w:val="Policepardfaut"/>
    <w:link w:val="Titre50"/>
    <w:uiPriority w:val="9"/>
    <w:rPr>
      <w:rFonts w:ascii="Arial" w:eastAsiaTheme="majorEastAsia" w:hAnsi="Arial" w:cstheme="majorBidi"/>
      <w:bCs/>
      <w:i/>
      <w:iCs/>
      <w:color w:val="605C5B" w:themeColor="text1"/>
      <w:sz w:val="20"/>
      <w:szCs w:val="20"/>
      <w:lang w:eastAsia="fr-FR"/>
    </w:rPr>
  </w:style>
  <w:style w:type="character" w:customStyle="1" w:styleId="Titre6Car">
    <w:name w:val="Titre 6 Car"/>
    <w:basedOn w:val="Policepardfaut"/>
    <w:link w:val="Titre6"/>
    <w:uiPriority w:val="9"/>
    <w:rPr>
      <w:rFonts w:ascii="Arial" w:eastAsiaTheme="majorEastAsia" w:hAnsi="Arial" w:cstheme="majorBidi"/>
      <w:i/>
      <w:iCs/>
      <w:color w:val="605C5B" w:themeColor="text1"/>
      <w:sz w:val="20"/>
      <w:u w:val="single"/>
      <w:lang w:eastAsia="fr-FR"/>
    </w:rPr>
  </w:style>
  <w:style w:type="paragraph" w:styleId="Sous-titre">
    <w:name w:val="Subtitle"/>
    <w:basedOn w:val="Normal"/>
    <w:next w:val="Normal"/>
    <w:link w:val="Sous-titreCar"/>
    <w:uiPriority w:val="11"/>
    <w:pPr>
      <w:numPr>
        <w:ilvl w:val="1"/>
      </w:numPr>
    </w:pPr>
    <w:rPr>
      <w:rFonts w:eastAsiaTheme="majorEastAsia" w:cstheme="majorBidi"/>
      <w:i/>
      <w:iCs/>
      <w:color w:val="F3C345" w:themeColor="accent1"/>
      <w:spacing w:val="15"/>
      <w:sz w:val="24"/>
      <w:szCs w:val="24"/>
    </w:rPr>
  </w:style>
  <w:style w:type="character" w:customStyle="1" w:styleId="Sous-titreCar">
    <w:name w:val="Sous-titre Car"/>
    <w:basedOn w:val="Policepardfaut"/>
    <w:link w:val="Sous-titre"/>
    <w:uiPriority w:val="11"/>
    <w:rPr>
      <w:rFonts w:ascii="Arial" w:eastAsiaTheme="majorEastAsia" w:hAnsi="Arial" w:cstheme="majorBidi"/>
      <w:i/>
      <w:iCs/>
      <w:color w:val="F3C345" w:themeColor="accent1"/>
      <w:spacing w:val="15"/>
      <w:sz w:val="24"/>
      <w:szCs w:val="24"/>
    </w:rPr>
  </w:style>
  <w:style w:type="paragraph" w:styleId="Titre">
    <w:name w:val="Title"/>
    <w:basedOn w:val="Normal"/>
    <w:next w:val="Normal"/>
    <w:link w:val="TitreCar"/>
    <w:uiPriority w:val="10"/>
    <w:pPr>
      <w:spacing w:before="120" w:line="240" w:lineRule="auto"/>
      <w:jc w:val="right"/>
    </w:pPr>
    <w:rPr>
      <w:rFonts w:asciiTheme="majorHAnsi" w:hAnsiTheme="majorHAnsi" w:cstheme="majorHAnsi"/>
      <w:smallCaps/>
      <w:color w:val="auto"/>
      <w:sz w:val="36"/>
      <w:szCs w:val="36"/>
    </w:rPr>
  </w:style>
  <w:style w:type="character" w:customStyle="1" w:styleId="TitreCar">
    <w:name w:val="Titre Car"/>
    <w:basedOn w:val="Policepardfaut"/>
    <w:link w:val="Titre"/>
    <w:uiPriority w:val="10"/>
    <w:rPr>
      <w:rFonts w:asciiTheme="majorHAnsi" w:hAnsiTheme="majorHAnsi" w:cstheme="majorHAnsi"/>
      <w:smallCaps/>
      <w:sz w:val="36"/>
      <w:szCs w:val="36"/>
      <w:lang w:eastAsia="fr-FR"/>
    </w:rPr>
  </w:style>
  <w:style w:type="paragraph" w:styleId="Textedebulles">
    <w:name w:val="Balloon Text"/>
    <w:basedOn w:val="Normal"/>
    <w:link w:val="TextedebullesCar"/>
    <w:uiPriority w:val="99"/>
    <w:semiHidden/>
    <w:unhideWhenUsed/>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color w:val="000000" w:themeColor="background1"/>
      <w:sz w:val="16"/>
      <w:szCs w:val="16"/>
      <w:lang w:eastAsia="fr-FR"/>
    </w:rPr>
  </w:style>
  <w:style w:type="table" w:styleId="Grilledutableau">
    <w:name w:val="Table Grid"/>
    <w:basedOn w:val="TableauNormal"/>
    <w:uiPriority w:val="39"/>
    <w:pPr>
      <w:spacing w:after="0" w:line="240" w:lineRule="auto"/>
    </w:pPr>
    <w:rPr>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agraphedeliste">
    <w:name w:val="List Paragraph"/>
    <w:aliases w:val="texte de base,Puce focus,Normal bullet 2,List Paragraph1,Bullet list,Contact,calia titre 3,texte tableau,Titre 1 Car1,armelle Car,Ondertekst Avida,bullet 1,List Paragraph,Liste 1,NBP,Paragraphe de liste num,Paragraphe de liste 1,LIST"/>
    <w:basedOn w:val="Normal"/>
    <w:link w:val="ParagraphedelisteCar"/>
    <w:uiPriority w:val="34"/>
    <w:qFormat/>
    <w:pPr>
      <w:ind w:left="720"/>
      <w:contextualSpacing/>
    </w:pPr>
  </w:style>
  <w:style w:type="paragraph" w:customStyle="1" w:styleId="puce1">
    <w:name w:val="puce1"/>
    <w:basedOn w:val="Normal"/>
    <w:pPr>
      <w:numPr>
        <w:numId w:val="5"/>
      </w:numPr>
      <w:contextualSpacing/>
    </w:pPr>
    <w:rPr>
      <w:rFonts w:eastAsia="Calibri" w:cs="Times New Roman"/>
      <w:szCs w:val="24"/>
    </w:rPr>
  </w:style>
  <w:style w:type="paragraph" w:customStyle="1" w:styleId="puce2">
    <w:name w:val="puce2"/>
    <w:basedOn w:val="Normal"/>
    <w:pPr>
      <w:numPr>
        <w:ilvl w:val="1"/>
        <w:numId w:val="6"/>
      </w:numPr>
    </w:pPr>
    <w:rPr>
      <w:rFonts w:eastAsia="Calibri" w:cs="Arial"/>
    </w:rPr>
  </w:style>
  <w:style w:type="character" w:styleId="Numrodepage">
    <w:name w:val="page number"/>
    <w:basedOn w:val="Policepardfaut"/>
    <w:semiHidden/>
  </w:style>
  <w:style w:type="paragraph" w:styleId="Sansinterligne">
    <w:name w:val="No Spacing"/>
    <w:link w:val="SansinterligneCar"/>
    <w:uiPriority w:val="1"/>
    <w:qFormat/>
    <w:pPr>
      <w:spacing w:before="40" w:after="40" w:line="240" w:lineRule="auto"/>
      <w:jc w:val="center"/>
    </w:pPr>
    <w:rPr>
      <w:rFonts w:ascii="Arial" w:eastAsiaTheme="minorEastAsia" w:hAnsi="Arial" w:cs="Times New Roman"/>
      <w:sz w:val="16"/>
      <w:szCs w:val="20"/>
      <w:lang w:eastAsia="fr-FR"/>
    </w:rPr>
  </w:style>
  <w:style w:type="character" w:customStyle="1" w:styleId="SansinterligneCar">
    <w:name w:val="Sans interligne Car"/>
    <w:basedOn w:val="Policepardfaut"/>
    <w:link w:val="Sansinterligne"/>
    <w:uiPriority w:val="1"/>
    <w:rPr>
      <w:rFonts w:ascii="Arial" w:eastAsiaTheme="minorEastAsia" w:hAnsi="Arial" w:cs="Times New Roman"/>
      <w:sz w:val="16"/>
      <w:szCs w:val="20"/>
      <w:lang w:eastAsia="fr-FR"/>
    </w:rPr>
  </w:style>
  <w:style w:type="paragraph" w:styleId="TM1">
    <w:name w:val="toc 1"/>
    <w:basedOn w:val="Normal"/>
    <w:next w:val="Normal"/>
    <w:uiPriority w:val="39"/>
    <w:unhideWhenUsed/>
    <w:pPr>
      <w:pBdr>
        <w:bottom w:val="single" w:sz="2" w:space="1" w:color="auto"/>
      </w:pBdr>
      <w:tabs>
        <w:tab w:val="left" w:pos="332"/>
        <w:tab w:val="right" w:pos="9062"/>
      </w:tabs>
      <w:spacing w:before="240"/>
      <w:jc w:val="left"/>
    </w:pPr>
    <w:rPr>
      <w:rFonts w:asciiTheme="minorHAnsi" w:hAnsiTheme="minorHAnsi" w:cs="Arial"/>
      <w:b/>
      <w:bCs/>
      <w:caps/>
      <w:color w:val="auto"/>
      <w:sz w:val="24"/>
      <w:szCs w:val="28"/>
    </w:rPr>
  </w:style>
  <w:style w:type="paragraph" w:styleId="TM2">
    <w:name w:val="toc 2"/>
    <w:basedOn w:val="Normal"/>
    <w:next w:val="Normal"/>
    <w:uiPriority w:val="39"/>
    <w:unhideWhenUsed/>
    <w:pPr>
      <w:tabs>
        <w:tab w:val="left" w:pos="502"/>
        <w:tab w:val="right" w:pos="9062"/>
      </w:tabs>
      <w:spacing w:before="40" w:after="40"/>
      <w:jc w:val="left"/>
    </w:pPr>
    <w:rPr>
      <w:rFonts w:asciiTheme="minorHAnsi" w:hAnsiTheme="minorHAnsi"/>
      <w:b/>
      <w:smallCaps/>
      <w:color w:val="auto"/>
    </w:rPr>
  </w:style>
  <w:style w:type="paragraph" w:styleId="TM3">
    <w:name w:val="toc 3"/>
    <w:basedOn w:val="Normal"/>
    <w:next w:val="Normal"/>
    <w:uiPriority w:val="39"/>
    <w:unhideWhenUsed/>
    <w:pPr>
      <w:tabs>
        <w:tab w:val="left" w:pos="666"/>
        <w:tab w:val="right" w:pos="9062"/>
      </w:tabs>
      <w:spacing w:before="20" w:after="20"/>
      <w:jc w:val="left"/>
    </w:pPr>
    <w:rPr>
      <w:rFonts w:asciiTheme="minorHAnsi" w:hAnsiTheme="minorHAnsi" w:cs="Arial"/>
      <w:smallCaps/>
      <w:color w:val="auto"/>
      <w:sz w:val="16"/>
      <w:szCs w:val="20"/>
    </w:rPr>
  </w:style>
  <w:style w:type="paragraph" w:styleId="TM4">
    <w:name w:val="toc 4"/>
    <w:basedOn w:val="Normal"/>
    <w:next w:val="Normal"/>
    <w:uiPriority w:val="39"/>
    <w:unhideWhenUsed/>
    <w:pPr>
      <w:jc w:val="left"/>
    </w:pPr>
    <w:rPr>
      <w:color w:val="605F61"/>
    </w:rPr>
  </w:style>
  <w:style w:type="paragraph" w:styleId="TM5">
    <w:name w:val="toc 5"/>
    <w:basedOn w:val="Normal"/>
    <w:next w:val="Normal"/>
    <w:uiPriority w:val="39"/>
    <w:unhideWhenUsed/>
    <w:pPr>
      <w:jc w:val="left"/>
    </w:pPr>
  </w:style>
  <w:style w:type="paragraph" w:styleId="TM6">
    <w:name w:val="toc 6"/>
    <w:basedOn w:val="Normal"/>
    <w:next w:val="Normal"/>
    <w:uiPriority w:val="39"/>
    <w:unhideWhenUsed/>
    <w:pPr>
      <w:jc w:val="left"/>
    </w:pPr>
  </w:style>
  <w:style w:type="paragraph" w:styleId="TM7">
    <w:name w:val="toc 7"/>
    <w:basedOn w:val="Normal"/>
    <w:next w:val="Normal"/>
    <w:uiPriority w:val="39"/>
    <w:unhideWhenUsed/>
    <w:pPr>
      <w:jc w:val="left"/>
    </w:pPr>
  </w:style>
  <w:style w:type="paragraph" w:styleId="TM8">
    <w:name w:val="toc 8"/>
    <w:basedOn w:val="Normal"/>
    <w:next w:val="Normal"/>
    <w:uiPriority w:val="39"/>
    <w:unhideWhenUsed/>
    <w:pPr>
      <w:jc w:val="left"/>
    </w:pPr>
  </w:style>
  <w:style w:type="paragraph" w:styleId="TM9">
    <w:name w:val="toc 9"/>
    <w:basedOn w:val="Normal"/>
    <w:next w:val="Normal"/>
    <w:uiPriority w:val="39"/>
    <w:unhideWhenUsed/>
    <w:pPr>
      <w:jc w:val="left"/>
    </w:pPr>
  </w:style>
  <w:style w:type="character" w:styleId="Lienhypertexte">
    <w:name w:val="Hyperlink"/>
    <w:basedOn w:val="Policepardfaut"/>
    <w:uiPriority w:val="99"/>
    <w:unhideWhenUsed/>
    <w:rPr>
      <w:color w:val="0000FF" w:themeColor="hyperlink"/>
      <w:u w:val="single"/>
    </w:rPr>
  </w:style>
  <w:style w:type="paragraph" w:customStyle="1" w:styleId="xl70">
    <w:name w:val="xl70"/>
    <w:basedOn w:val="Normal"/>
    <w:pPr>
      <w:pBdr>
        <w:top w:val="single" w:sz="4" w:space="0" w:color="auto"/>
      </w:pBdr>
      <w:spacing w:before="100" w:beforeAutospacing="1" w:after="100" w:afterAutospacing="1"/>
      <w:jc w:val="left"/>
    </w:pPr>
    <w:rPr>
      <w:rFonts w:ascii="Times New Roman" w:eastAsia="Times New Roman" w:hAnsi="Times New Roman" w:cs="Times New Roman"/>
      <w:b/>
      <w:bCs/>
      <w:i/>
      <w:iCs/>
      <w:sz w:val="18"/>
      <w:szCs w:val="18"/>
    </w:rPr>
  </w:style>
  <w:style w:type="paragraph" w:customStyle="1" w:styleId="xl71">
    <w:name w:val="xl71"/>
    <w:basedOn w:val="Normal"/>
    <w:pPr>
      <w:pBdr>
        <w:right w:val="single" w:sz="4" w:space="0" w:color="auto"/>
      </w:pBdr>
      <w:spacing w:before="100" w:beforeAutospacing="1" w:after="100" w:afterAutospacing="1"/>
      <w:jc w:val="left"/>
    </w:pPr>
    <w:rPr>
      <w:rFonts w:ascii="Times New Roman" w:eastAsia="Times New Roman" w:hAnsi="Times New Roman" w:cs="Times New Roman"/>
      <w:sz w:val="16"/>
      <w:szCs w:val="16"/>
    </w:rPr>
  </w:style>
  <w:style w:type="paragraph" w:customStyle="1" w:styleId="xl72">
    <w:name w:val="xl72"/>
    <w:basedOn w:val="Normal"/>
    <w:pPr>
      <w:pBdr>
        <w:left w:val="single" w:sz="4" w:space="0" w:color="auto"/>
      </w:pBdr>
      <w:spacing w:before="100" w:beforeAutospacing="1" w:after="100" w:afterAutospacing="1"/>
      <w:jc w:val="left"/>
    </w:pPr>
    <w:rPr>
      <w:rFonts w:ascii="Times New Roman" w:eastAsia="Times New Roman" w:hAnsi="Times New Roman" w:cs="Times New Roman"/>
      <w:sz w:val="16"/>
      <w:szCs w:val="16"/>
    </w:rPr>
  </w:style>
  <w:style w:type="paragraph" w:customStyle="1" w:styleId="xl73">
    <w:name w:val="xl73"/>
    <w:basedOn w:val="Normal"/>
    <w:pPr>
      <w:spacing w:before="100" w:beforeAutospacing="1" w:after="100" w:afterAutospacing="1"/>
      <w:jc w:val="left"/>
    </w:pPr>
    <w:rPr>
      <w:rFonts w:ascii="Times New Roman" w:eastAsia="Times New Roman" w:hAnsi="Times New Roman" w:cs="Times New Roman"/>
      <w:sz w:val="16"/>
      <w:szCs w:val="16"/>
    </w:rPr>
  </w:style>
  <w:style w:type="paragraph" w:customStyle="1" w:styleId="xl74">
    <w:name w:val="xl74"/>
    <w:basedOn w:val="Normal"/>
    <w:pPr>
      <w:spacing w:before="100" w:beforeAutospacing="1" w:after="100" w:afterAutospacing="1"/>
      <w:jc w:val="left"/>
    </w:pPr>
    <w:rPr>
      <w:rFonts w:ascii="Times New Roman" w:eastAsia="Times New Roman" w:hAnsi="Times New Roman" w:cs="Times New Roman"/>
      <w:color w:val="FFFFFF"/>
      <w:sz w:val="16"/>
      <w:szCs w:val="16"/>
    </w:rPr>
  </w:style>
  <w:style w:type="paragraph" w:customStyle="1" w:styleId="xl75">
    <w:name w:val="xl75"/>
    <w:basedOn w:val="Normal"/>
    <w:pPr>
      <w:spacing w:before="100" w:beforeAutospacing="1" w:after="100" w:afterAutospacing="1"/>
      <w:jc w:val="left"/>
    </w:pPr>
    <w:rPr>
      <w:rFonts w:ascii="Times New Roman" w:eastAsia="Times New Roman" w:hAnsi="Times New Roman" w:cs="Times New Roman"/>
      <w:b/>
      <w:bCs/>
      <w:color w:val="FFFFFF"/>
      <w:sz w:val="16"/>
      <w:szCs w:val="16"/>
    </w:rPr>
  </w:style>
  <w:style w:type="paragraph" w:customStyle="1" w:styleId="xl76">
    <w:name w:val="xl76"/>
    <w:basedOn w:val="Normal"/>
    <w:pPr>
      <w:spacing w:before="100" w:beforeAutospacing="1" w:after="100" w:afterAutospacing="1"/>
      <w:jc w:val="left"/>
    </w:pPr>
    <w:rPr>
      <w:rFonts w:ascii="Verdana" w:eastAsia="Times New Roman" w:hAnsi="Verdana" w:cs="Times New Roman"/>
      <w:b/>
      <w:bCs/>
      <w:color w:val="FFFFFF"/>
      <w:sz w:val="16"/>
      <w:szCs w:val="16"/>
    </w:rPr>
  </w:style>
  <w:style w:type="paragraph" w:customStyle="1" w:styleId="xl77">
    <w:name w:val="xl77"/>
    <w:basedOn w:val="Normal"/>
    <w:pPr>
      <w:pBdr>
        <w:top w:val="single" w:sz="4" w:space="0" w:color="auto"/>
      </w:pBdr>
      <w:shd w:val="clear" w:color="000000" w:fill="DEAAFF"/>
      <w:spacing w:before="100" w:beforeAutospacing="1" w:after="100" w:afterAutospacing="1"/>
      <w:jc w:val="left"/>
    </w:pPr>
    <w:rPr>
      <w:rFonts w:ascii="Times New Roman" w:eastAsia="Times New Roman" w:hAnsi="Times New Roman" w:cs="Times New Roman"/>
      <w:b/>
      <w:bCs/>
      <w:sz w:val="14"/>
      <w:szCs w:val="14"/>
    </w:rPr>
  </w:style>
  <w:style w:type="paragraph" w:customStyle="1" w:styleId="xl78">
    <w:name w:val="xl78"/>
    <w:basedOn w:val="Normal"/>
    <w:pPr>
      <w:pBdr>
        <w:top w:val="single" w:sz="4" w:space="0" w:color="auto"/>
      </w:pBdr>
      <w:shd w:val="clear" w:color="000000" w:fill="DEAAFF"/>
      <w:spacing w:before="100" w:beforeAutospacing="1" w:after="100" w:afterAutospacing="1"/>
      <w:jc w:val="left"/>
    </w:pPr>
    <w:rPr>
      <w:rFonts w:ascii="Times New Roman" w:eastAsia="Times New Roman" w:hAnsi="Times New Roman" w:cs="Times New Roman"/>
      <w:sz w:val="16"/>
      <w:szCs w:val="16"/>
    </w:rPr>
  </w:style>
  <w:style w:type="paragraph" w:customStyle="1" w:styleId="xl79">
    <w:name w:val="xl79"/>
    <w:basedOn w:val="Normal"/>
    <w:pPr>
      <w:pBdr>
        <w:bottom w:val="single" w:sz="4" w:space="0" w:color="auto"/>
      </w:pBdr>
      <w:shd w:val="clear" w:color="000000" w:fill="DEAAFF"/>
      <w:spacing w:before="100" w:beforeAutospacing="1" w:after="100" w:afterAutospacing="1"/>
      <w:jc w:val="left"/>
    </w:pPr>
    <w:rPr>
      <w:rFonts w:ascii="Times New Roman" w:eastAsia="Times New Roman" w:hAnsi="Times New Roman" w:cs="Times New Roman"/>
      <w:b/>
      <w:bCs/>
      <w:sz w:val="14"/>
      <w:szCs w:val="14"/>
    </w:rPr>
  </w:style>
  <w:style w:type="paragraph" w:customStyle="1" w:styleId="xl80">
    <w:name w:val="xl80"/>
    <w:basedOn w:val="Normal"/>
    <w:pPr>
      <w:pBdr>
        <w:bottom w:val="single" w:sz="4" w:space="0" w:color="auto"/>
      </w:pBdr>
      <w:shd w:val="clear" w:color="000000" w:fill="DEAAFF"/>
      <w:spacing w:before="100" w:beforeAutospacing="1" w:after="100" w:afterAutospacing="1"/>
      <w:jc w:val="left"/>
    </w:pPr>
    <w:rPr>
      <w:rFonts w:ascii="Times New Roman" w:eastAsia="Times New Roman" w:hAnsi="Times New Roman" w:cs="Times New Roman"/>
      <w:sz w:val="16"/>
      <w:szCs w:val="16"/>
    </w:rPr>
  </w:style>
  <w:style w:type="paragraph" w:customStyle="1" w:styleId="xl81">
    <w:name w:val="xl81"/>
    <w:basedOn w:val="Normal"/>
    <w:pPr>
      <w:pBdr>
        <w:top w:val="single" w:sz="4" w:space="0" w:color="auto"/>
      </w:pBdr>
      <w:shd w:val="clear" w:color="000000" w:fill="D696FF"/>
      <w:spacing w:before="100" w:beforeAutospacing="1" w:after="100" w:afterAutospacing="1"/>
      <w:jc w:val="left"/>
    </w:pPr>
    <w:rPr>
      <w:rFonts w:ascii="Times New Roman" w:eastAsia="Times New Roman" w:hAnsi="Times New Roman" w:cs="Times New Roman"/>
      <w:b/>
      <w:bCs/>
      <w:sz w:val="14"/>
      <w:szCs w:val="14"/>
    </w:rPr>
  </w:style>
  <w:style w:type="paragraph" w:customStyle="1" w:styleId="xl82">
    <w:name w:val="xl82"/>
    <w:basedOn w:val="Normal"/>
    <w:pPr>
      <w:pBdr>
        <w:top w:val="single" w:sz="4" w:space="0" w:color="auto"/>
      </w:pBdr>
      <w:shd w:val="clear" w:color="000000" w:fill="D696FF"/>
      <w:spacing w:before="100" w:beforeAutospacing="1" w:after="100" w:afterAutospacing="1"/>
      <w:jc w:val="left"/>
    </w:pPr>
    <w:rPr>
      <w:rFonts w:ascii="Times New Roman" w:eastAsia="Times New Roman" w:hAnsi="Times New Roman" w:cs="Times New Roman"/>
      <w:sz w:val="16"/>
      <w:szCs w:val="16"/>
    </w:rPr>
  </w:style>
  <w:style w:type="paragraph" w:customStyle="1" w:styleId="xl83">
    <w:name w:val="xl83"/>
    <w:basedOn w:val="Normal"/>
    <w:pPr>
      <w:pBdr>
        <w:bottom w:val="single" w:sz="4" w:space="0" w:color="auto"/>
      </w:pBdr>
      <w:shd w:val="clear" w:color="000000" w:fill="D696FF"/>
      <w:spacing w:before="100" w:beforeAutospacing="1" w:after="100" w:afterAutospacing="1"/>
      <w:jc w:val="left"/>
    </w:pPr>
    <w:rPr>
      <w:rFonts w:ascii="Times New Roman" w:eastAsia="Times New Roman" w:hAnsi="Times New Roman" w:cs="Times New Roman"/>
      <w:b/>
      <w:bCs/>
      <w:sz w:val="14"/>
      <w:szCs w:val="14"/>
    </w:rPr>
  </w:style>
  <w:style w:type="paragraph" w:customStyle="1" w:styleId="xl84">
    <w:name w:val="xl84"/>
    <w:basedOn w:val="Normal"/>
    <w:pPr>
      <w:pBdr>
        <w:bottom w:val="single" w:sz="4" w:space="0" w:color="auto"/>
      </w:pBdr>
      <w:shd w:val="clear" w:color="000000" w:fill="D696FF"/>
      <w:spacing w:before="100" w:beforeAutospacing="1" w:after="100" w:afterAutospacing="1"/>
      <w:jc w:val="left"/>
    </w:pPr>
    <w:rPr>
      <w:rFonts w:ascii="Times New Roman" w:eastAsia="Times New Roman" w:hAnsi="Times New Roman" w:cs="Times New Roman"/>
      <w:sz w:val="16"/>
      <w:szCs w:val="16"/>
    </w:rPr>
  </w:style>
  <w:style w:type="paragraph" w:customStyle="1" w:styleId="xl85">
    <w:name w:val="xl85"/>
    <w:basedOn w:val="Normal"/>
    <w:pPr>
      <w:pBdr>
        <w:top w:val="single" w:sz="4" w:space="0" w:color="auto"/>
      </w:pBdr>
      <w:shd w:val="clear" w:color="000000" w:fill="BD75F7"/>
      <w:spacing w:before="100" w:beforeAutospacing="1" w:after="100" w:afterAutospacing="1"/>
      <w:jc w:val="left"/>
    </w:pPr>
    <w:rPr>
      <w:rFonts w:ascii="Times New Roman" w:eastAsia="Times New Roman" w:hAnsi="Times New Roman" w:cs="Times New Roman"/>
      <w:b/>
      <w:bCs/>
      <w:sz w:val="14"/>
      <w:szCs w:val="14"/>
    </w:rPr>
  </w:style>
  <w:style w:type="paragraph" w:customStyle="1" w:styleId="xl86">
    <w:name w:val="xl86"/>
    <w:basedOn w:val="Normal"/>
    <w:pPr>
      <w:pBdr>
        <w:top w:val="single" w:sz="4" w:space="0" w:color="auto"/>
      </w:pBdr>
      <w:shd w:val="clear" w:color="000000" w:fill="BD75F7"/>
      <w:spacing w:before="100" w:beforeAutospacing="1" w:after="100" w:afterAutospacing="1"/>
      <w:jc w:val="left"/>
    </w:pPr>
    <w:rPr>
      <w:rFonts w:ascii="Times New Roman" w:eastAsia="Times New Roman" w:hAnsi="Times New Roman" w:cs="Times New Roman"/>
      <w:sz w:val="16"/>
      <w:szCs w:val="16"/>
    </w:rPr>
  </w:style>
  <w:style w:type="paragraph" w:customStyle="1" w:styleId="xl87">
    <w:name w:val="xl87"/>
    <w:basedOn w:val="Normal"/>
    <w:pPr>
      <w:pBdr>
        <w:bottom w:val="single" w:sz="4" w:space="0" w:color="auto"/>
      </w:pBdr>
      <w:shd w:val="clear" w:color="000000" w:fill="BD75F7"/>
      <w:spacing w:before="100" w:beforeAutospacing="1" w:after="100" w:afterAutospacing="1"/>
      <w:jc w:val="left"/>
    </w:pPr>
    <w:rPr>
      <w:rFonts w:ascii="Times New Roman" w:eastAsia="Times New Roman" w:hAnsi="Times New Roman" w:cs="Times New Roman"/>
      <w:b/>
      <w:bCs/>
      <w:sz w:val="14"/>
      <w:szCs w:val="14"/>
    </w:rPr>
  </w:style>
  <w:style w:type="paragraph" w:customStyle="1" w:styleId="xl88">
    <w:name w:val="xl88"/>
    <w:basedOn w:val="Normal"/>
    <w:pPr>
      <w:pBdr>
        <w:bottom w:val="single" w:sz="4" w:space="0" w:color="auto"/>
      </w:pBdr>
      <w:shd w:val="clear" w:color="000000" w:fill="BD75F7"/>
      <w:spacing w:before="100" w:beforeAutospacing="1" w:after="100" w:afterAutospacing="1"/>
      <w:jc w:val="left"/>
    </w:pPr>
    <w:rPr>
      <w:rFonts w:ascii="Times New Roman" w:eastAsia="Times New Roman" w:hAnsi="Times New Roman" w:cs="Times New Roman"/>
      <w:sz w:val="16"/>
      <w:szCs w:val="16"/>
    </w:rPr>
  </w:style>
  <w:style w:type="paragraph" w:customStyle="1" w:styleId="xl89">
    <w:name w:val="xl89"/>
    <w:basedOn w:val="Normal"/>
    <w:pPr>
      <w:pBdr>
        <w:top w:val="single" w:sz="4" w:space="0" w:color="auto"/>
      </w:pBdr>
      <w:shd w:val="clear" w:color="000000" w:fill="AD4DF7"/>
      <w:spacing w:before="100" w:beforeAutospacing="1" w:after="100" w:afterAutospacing="1"/>
      <w:jc w:val="left"/>
    </w:pPr>
    <w:rPr>
      <w:rFonts w:ascii="Times New Roman" w:eastAsia="Times New Roman" w:hAnsi="Times New Roman" w:cs="Times New Roman"/>
      <w:b/>
      <w:bCs/>
      <w:sz w:val="14"/>
      <w:szCs w:val="14"/>
    </w:rPr>
  </w:style>
  <w:style w:type="paragraph" w:customStyle="1" w:styleId="xl90">
    <w:name w:val="xl90"/>
    <w:basedOn w:val="Normal"/>
    <w:pPr>
      <w:pBdr>
        <w:top w:val="single" w:sz="4" w:space="0" w:color="auto"/>
      </w:pBdr>
      <w:shd w:val="clear" w:color="000000" w:fill="AD4DF7"/>
      <w:spacing w:before="100" w:beforeAutospacing="1" w:after="100" w:afterAutospacing="1"/>
      <w:jc w:val="left"/>
    </w:pPr>
    <w:rPr>
      <w:rFonts w:ascii="Times New Roman" w:eastAsia="Times New Roman" w:hAnsi="Times New Roman" w:cs="Times New Roman"/>
      <w:sz w:val="16"/>
      <w:szCs w:val="16"/>
    </w:rPr>
  </w:style>
  <w:style w:type="paragraph" w:customStyle="1" w:styleId="xl91">
    <w:name w:val="xl91"/>
    <w:basedOn w:val="Normal"/>
    <w:pPr>
      <w:pBdr>
        <w:bottom w:val="single" w:sz="4" w:space="0" w:color="auto"/>
      </w:pBdr>
      <w:shd w:val="clear" w:color="000000" w:fill="AD4DF7"/>
      <w:spacing w:before="100" w:beforeAutospacing="1" w:after="100" w:afterAutospacing="1"/>
      <w:jc w:val="left"/>
    </w:pPr>
    <w:rPr>
      <w:rFonts w:ascii="Times New Roman" w:eastAsia="Times New Roman" w:hAnsi="Times New Roman" w:cs="Times New Roman"/>
      <w:b/>
      <w:bCs/>
      <w:sz w:val="14"/>
      <w:szCs w:val="14"/>
    </w:rPr>
  </w:style>
  <w:style w:type="paragraph" w:customStyle="1" w:styleId="xl92">
    <w:name w:val="xl92"/>
    <w:basedOn w:val="Normal"/>
    <w:pPr>
      <w:pBdr>
        <w:bottom w:val="single" w:sz="4" w:space="0" w:color="auto"/>
      </w:pBdr>
      <w:shd w:val="clear" w:color="000000" w:fill="AD4DF7"/>
      <w:spacing w:before="100" w:beforeAutospacing="1" w:after="100" w:afterAutospacing="1"/>
      <w:jc w:val="left"/>
    </w:pPr>
    <w:rPr>
      <w:rFonts w:ascii="Times New Roman" w:eastAsia="Times New Roman" w:hAnsi="Times New Roman" w:cs="Times New Roman"/>
      <w:sz w:val="16"/>
      <w:szCs w:val="16"/>
    </w:rPr>
  </w:style>
  <w:style w:type="paragraph" w:customStyle="1" w:styleId="xl93">
    <w:name w:val="xl93"/>
    <w:basedOn w:val="Normal"/>
    <w:pPr>
      <w:pBdr>
        <w:top w:val="single" w:sz="4" w:space="0" w:color="auto"/>
      </w:pBdr>
      <w:shd w:val="clear" w:color="000000" w:fill="8C18E7"/>
      <w:spacing w:before="100" w:beforeAutospacing="1" w:after="100" w:afterAutospacing="1"/>
      <w:jc w:val="left"/>
    </w:pPr>
    <w:rPr>
      <w:rFonts w:ascii="Times New Roman" w:eastAsia="Times New Roman" w:hAnsi="Times New Roman" w:cs="Times New Roman"/>
      <w:b/>
      <w:bCs/>
      <w:color w:val="FFFFFF"/>
      <w:sz w:val="14"/>
      <w:szCs w:val="14"/>
    </w:rPr>
  </w:style>
  <w:style w:type="paragraph" w:customStyle="1" w:styleId="xl94">
    <w:name w:val="xl94"/>
    <w:basedOn w:val="Normal"/>
    <w:pPr>
      <w:pBdr>
        <w:top w:val="single" w:sz="4" w:space="0" w:color="auto"/>
      </w:pBdr>
      <w:shd w:val="clear" w:color="000000" w:fill="8C18E7"/>
      <w:spacing w:before="100" w:beforeAutospacing="1" w:after="100" w:afterAutospacing="1"/>
      <w:jc w:val="left"/>
    </w:pPr>
    <w:rPr>
      <w:rFonts w:ascii="Times New Roman" w:eastAsia="Times New Roman" w:hAnsi="Times New Roman" w:cs="Times New Roman"/>
      <w:sz w:val="16"/>
      <w:szCs w:val="16"/>
    </w:rPr>
  </w:style>
  <w:style w:type="paragraph" w:customStyle="1" w:styleId="xl95">
    <w:name w:val="xl95"/>
    <w:basedOn w:val="Normal"/>
    <w:pPr>
      <w:pBdr>
        <w:bottom w:val="single" w:sz="4" w:space="0" w:color="auto"/>
      </w:pBdr>
      <w:shd w:val="clear" w:color="000000" w:fill="8C18E7"/>
      <w:spacing w:before="100" w:beforeAutospacing="1" w:after="100" w:afterAutospacing="1"/>
      <w:jc w:val="left"/>
    </w:pPr>
    <w:rPr>
      <w:rFonts w:ascii="Times New Roman" w:eastAsia="Times New Roman" w:hAnsi="Times New Roman" w:cs="Times New Roman"/>
      <w:b/>
      <w:bCs/>
      <w:color w:val="FFFFFF"/>
      <w:sz w:val="14"/>
      <w:szCs w:val="14"/>
    </w:rPr>
  </w:style>
  <w:style w:type="paragraph" w:customStyle="1" w:styleId="xl96">
    <w:name w:val="xl96"/>
    <w:basedOn w:val="Normal"/>
    <w:pPr>
      <w:pBdr>
        <w:bottom w:val="single" w:sz="4" w:space="0" w:color="auto"/>
      </w:pBdr>
      <w:shd w:val="clear" w:color="000000" w:fill="8C18E7"/>
      <w:spacing w:before="100" w:beforeAutospacing="1" w:after="100" w:afterAutospacing="1"/>
      <w:jc w:val="left"/>
    </w:pPr>
    <w:rPr>
      <w:rFonts w:ascii="Times New Roman" w:eastAsia="Times New Roman" w:hAnsi="Times New Roman" w:cs="Times New Roman"/>
      <w:sz w:val="16"/>
      <w:szCs w:val="16"/>
    </w:rPr>
  </w:style>
  <w:style w:type="paragraph" w:customStyle="1" w:styleId="xl97">
    <w:name w:val="xl97"/>
    <w:basedOn w:val="Normal"/>
    <w:pPr>
      <w:pBdr>
        <w:top w:val="single" w:sz="4" w:space="0" w:color="auto"/>
      </w:pBdr>
      <w:shd w:val="clear" w:color="000000" w:fill="525252"/>
      <w:spacing w:before="100" w:beforeAutospacing="1" w:after="100" w:afterAutospacing="1"/>
      <w:jc w:val="left"/>
    </w:pPr>
    <w:rPr>
      <w:rFonts w:ascii="Times New Roman" w:eastAsia="Times New Roman" w:hAnsi="Times New Roman" w:cs="Times New Roman"/>
      <w:b/>
      <w:bCs/>
      <w:color w:val="FFFFFF"/>
      <w:sz w:val="14"/>
      <w:szCs w:val="14"/>
    </w:rPr>
  </w:style>
  <w:style w:type="paragraph" w:customStyle="1" w:styleId="xl98">
    <w:name w:val="xl98"/>
    <w:basedOn w:val="Normal"/>
    <w:pPr>
      <w:pBdr>
        <w:top w:val="single" w:sz="4" w:space="0" w:color="auto"/>
      </w:pBdr>
      <w:shd w:val="clear" w:color="000000" w:fill="525252"/>
      <w:spacing w:before="100" w:beforeAutospacing="1" w:after="100" w:afterAutospacing="1"/>
      <w:jc w:val="left"/>
    </w:pPr>
    <w:rPr>
      <w:rFonts w:ascii="Times New Roman" w:eastAsia="Times New Roman" w:hAnsi="Times New Roman" w:cs="Times New Roman"/>
      <w:sz w:val="16"/>
      <w:szCs w:val="16"/>
    </w:rPr>
  </w:style>
  <w:style w:type="paragraph" w:customStyle="1" w:styleId="xl99">
    <w:name w:val="xl99"/>
    <w:basedOn w:val="Normal"/>
    <w:pPr>
      <w:pBdr>
        <w:bottom w:val="single" w:sz="4" w:space="0" w:color="auto"/>
      </w:pBdr>
      <w:shd w:val="clear" w:color="000000" w:fill="525252"/>
      <w:spacing w:before="100" w:beforeAutospacing="1" w:after="100" w:afterAutospacing="1"/>
      <w:jc w:val="left"/>
    </w:pPr>
    <w:rPr>
      <w:rFonts w:ascii="Times New Roman" w:eastAsia="Times New Roman" w:hAnsi="Times New Roman" w:cs="Times New Roman"/>
      <w:b/>
      <w:bCs/>
      <w:color w:val="FFFFFF"/>
      <w:sz w:val="14"/>
      <w:szCs w:val="14"/>
    </w:rPr>
  </w:style>
  <w:style w:type="paragraph" w:styleId="Index9">
    <w:name w:val="index 9"/>
    <w:basedOn w:val="Normal"/>
    <w:next w:val="Normal"/>
    <w:semiHidden/>
    <w:pPr>
      <w:ind w:left="2160" w:hanging="240"/>
      <w:jc w:val="left"/>
    </w:pPr>
    <w:rPr>
      <w:rFonts w:ascii="Comic Sans MS" w:eastAsia="Times New Roman" w:hAnsi="Comic Sans MS" w:cs="Times New Roman"/>
      <w:szCs w:val="20"/>
    </w:rPr>
  </w:style>
  <w:style w:type="character" w:customStyle="1" w:styleId="NotedebasdepageCar">
    <w:name w:val="Note de bas de page Car"/>
    <w:basedOn w:val="Policepardfaut"/>
    <w:link w:val="Notedebasdepage"/>
    <w:rPr>
      <w:rFonts w:ascii="Arial" w:eastAsia="Times New Roman" w:hAnsi="Arial" w:cs="Times New Roman"/>
      <w:color w:val="000000" w:themeColor="background1"/>
      <w:sz w:val="20"/>
      <w:szCs w:val="20"/>
      <w:lang w:eastAsia="fr-FR"/>
    </w:rPr>
  </w:style>
  <w:style w:type="paragraph" w:styleId="Notedebasdepage">
    <w:name w:val="footnote text"/>
    <w:basedOn w:val="Normal"/>
    <w:link w:val="NotedebasdepageCar"/>
    <w:rPr>
      <w:rFonts w:eastAsia="Times New Roman" w:cs="Times New Roman"/>
      <w:szCs w:val="20"/>
    </w:rPr>
  </w:style>
  <w:style w:type="paragraph" w:styleId="Notedefin">
    <w:name w:val="endnote text"/>
    <w:basedOn w:val="Normal"/>
    <w:link w:val="NotedefinCar"/>
    <w:uiPriority w:val="99"/>
    <w:semiHidden/>
    <w:unhideWhenUsed/>
    <w:rPr>
      <w:szCs w:val="20"/>
    </w:rPr>
  </w:style>
  <w:style w:type="character" w:customStyle="1" w:styleId="NotedefinCar">
    <w:name w:val="Note de fin Car"/>
    <w:basedOn w:val="Policepardfaut"/>
    <w:link w:val="Notedefin"/>
    <w:uiPriority w:val="99"/>
    <w:semiHidden/>
    <w:rPr>
      <w:rFonts w:ascii="Arial" w:hAnsi="Arial"/>
      <w:color w:val="000000" w:themeColor="background1"/>
      <w:sz w:val="20"/>
      <w:szCs w:val="20"/>
      <w:lang w:eastAsia="fr-FR"/>
    </w:rPr>
  </w:style>
  <w:style w:type="character" w:styleId="Appeldenotedefin">
    <w:name w:val="endnote reference"/>
    <w:basedOn w:val="Policepardfaut"/>
    <w:uiPriority w:val="99"/>
    <w:semiHidden/>
    <w:unhideWhenUsed/>
    <w:rPr>
      <w:vertAlign w:val="superscript"/>
    </w:rPr>
  </w:style>
  <w:style w:type="character" w:styleId="Appelnotedebasdep">
    <w:name w:val="footnote reference"/>
    <w:basedOn w:val="Policepardfaut"/>
    <w:unhideWhenUsed/>
    <w:rPr>
      <w:vertAlign w:val="superscript"/>
    </w:rPr>
  </w:style>
  <w:style w:type="character" w:styleId="Textedelespacerserv">
    <w:name w:val="Placeholder Text"/>
    <w:basedOn w:val="Policepardfaut"/>
    <w:uiPriority w:val="99"/>
    <w:semiHidden/>
    <w:rPr>
      <w:color w:val="808080"/>
    </w:rPr>
  </w:style>
  <w:style w:type="character" w:styleId="Accentuationintense">
    <w:name w:val="Intense Emphasis"/>
    <w:basedOn w:val="Policepardfaut"/>
    <w:uiPriority w:val="21"/>
    <w:qFormat/>
    <w:rPr>
      <w:b/>
      <w:bCs/>
      <w:i/>
      <w:iCs/>
      <w:color w:val="F3C345" w:themeColor="accent1"/>
    </w:rPr>
  </w:style>
  <w:style w:type="paragraph" w:styleId="Explorateurdedocuments">
    <w:name w:val="Document Map"/>
    <w:basedOn w:val="Normal"/>
    <w:link w:val="ExplorateurdedocumentsCar"/>
    <w:uiPriority w:val="99"/>
    <w:semiHidden/>
    <w:unhideWhenUsed/>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Pr>
      <w:rFonts w:ascii="Tahoma" w:hAnsi="Tahoma" w:cs="Tahoma"/>
      <w:color w:val="000000" w:themeColor="background1"/>
      <w:sz w:val="16"/>
      <w:szCs w:val="16"/>
      <w:lang w:eastAsia="fr-FR"/>
    </w:rPr>
  </w:style>
  <w:style w:type="character" w:customStyle="1" w:styleId="Titre7Car">
    <w:name w:val="Titre 7 Car"/>
    <w:basedOn w:val="Policepardfaut"/>
    <w:link w:val="Titre7"/>
    <w:uiPriority w:val="9"/>
    <w:rPr>
      <w:rFonts w:asciiTheme="majorHAnsi" w:eastAsiaTheme="majorEastAsia" w:hAnsiTheme="majorHAnsi" w:cstheme="majorBidi"/>
      <w:i/>
      <w:iCs/>
      <w:color w:val="898482" w:themeColor="text1" w:themeTint="BF"/>
      <w:sz w:val="20"/>
      <w:lang w:eastAsia="fr-FR"/>
    </w:rPr>
  </w:style>
  <w:style w:type="paragraph" w:styleId="En-tte">
    <w:name w:val="header"/>
    <w:basedOn w:val="Normal"/>
    <w:link w:val="En-tteCar"/>
    <w:unhideWhenUsed/>
    <w:pPr>
      <w:tabs>
        <w:tab w:val="center" w:pos="4536"/>
        <w:tab w:val="right" w:pos="9072"/>
      </w:tabs>
    </w:pPr>
  </w:style>
  <w:style w:type="character" w:customStyle="1" w:styleId="En-tteCar">
    <w:name w:val="En-tête Car"/>
    <w:basedOn w:val="Policepardfaut"/>
    <w:link w:val="En-tte"/>
    <w:rPr>
      <w:rFonts w:ascii="Arial" w:hAnsi="Arial"/>
      <w:color w:val="000000" w:themeColor="background1"/>
      <w:sz w:val="20"/>
      <w:lang w:eastAsia="fr-FR"/>
    </w:rPr>
  </w:style>
  <w:style w:type="paragraph" w:styleId="Pieddepage">
    <w:name w:val="footer"/>
    <w:basedOn w:val="Normal"/>
    <w:link w:val="PieddepageCar"/>
    <w:uiPriority w:val="99"/>
    <w:unhideWhenUsed/>
    <w:pPr>
      <w:tabs>
        <w:tab w:val="center" w:pos="4536"/>
        <w:tab w:val="right" w:pos="9072"/>
      </w:tabs>
    </w:pPr>
  </w:style>
  <w:style w:type="character" w:customStyle="1" w:styleId="PieddepageCar">
    <w:name w:val="Pied de page Car"/>
    <w:basedOn w:val="Policepardfaut"/>
    <w:link w:val="Pieddepage"/>
    <w:uiPriority w:val="99"/>
    <w:rPr>
      <w:rFonts w:ascii="Arial" w:hAnsi="Arial"/>
      <w:color w:val="000000" w:themeColor="background1"/>
      <w:sz w:val="20"/>
      <w:lang w:eastAsia="fr-FR"/>
    </w:rPr>
  </w:style>
  <w:style w:type="table" w:customStyle="1" w:styleId="Grilledutableau1">
    <w:name w:val="Grille du tableau1"/>
    <w:basedOn w:val="TableauNormal"/>
    <w:next w:val="Grilledutableau"/>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1">
    <w:name w:val="A1"/>
    <w:uiPriority w:val="99"/>
    <w:rPr>
      <w:rFonts w:cs="Eurostile Bold"/>
      <w:b/>
      <w:bCs/>
      <w:color w:val="000000"/>
      <w:sz w:val="15"/>
      <w:szCs w:val="15"/>
    </w:rPr>
  </w:style>
  <w:style w:type="paragraph" w:customStyle="1" w:styleId="Titre1bis">
    <w:name w:val="Titre 1 bis"/>
    <w:basedOn w:val="Titre1"/>
    <w:link w:val="Titre1bisCar"/>
    <w:pPr>
      <w:pageBreakBefore w:val="0"/>
      <w:ind w:left="432" w:hanging="432"/>
    </w:pPr>
    <w:rPr>
      <w:rFonts w:asciiTheme="majorHAnsi" w:hAnsiTheme="majorHAnsi"/>
      <w:smallCaps w:val="0"/>
    </w:rPr>
  </w:style>
  <w:style w:type="character" w:customStyle="1" w:styleId="Titre1bisCar">
    <w:name w:val="Titre 1 bis Car"/>
    <w:basedOn w:val="Titre1Car"/>
    <w:link w:val="Titre1bis"/>
    <w:rPr>
      <w:rFonts w:asciiTheme="majorHAnsi" w:eastAsiaTheme="majorEastAsia" w:hAnsiTheme="majorHAnsi" w:cstheme="majorBidi"/>
      <w:b/>
      <w:bCs/>
      <w:smallCaps w:val="0"/>
      <w:color w:val="F3C345" w:themeColor="accent1"/>
      <w:sz w:val="30"/>
      <w:szCs w:val="30"/>
      <w:lang w:eastAsia="fr-FR"/>
    </w:rPr>
  </w:style>
  <w:style w:type="paragraph" w:customStyle="1" w:styleId="TITRE5">
    <w:name w:val="TITRE 5"/>
    <w:basedOn w:val="Normal"/>
    <w:pPr>
      <w:numPr>
        <w:ilvl w:val="4"/>
        <w:numId w:val="3"/>
      </w:numPr>
      <w:spacing w:before="120"/>
      <w:contextualSpacing/>
      <w:jc w:val="left"/>
    </w:pPr>
    <w:rPr>
      <w:rFonts w:asciiTheme="minorHAnsi" w:hAnsiTheme="minorHAnsi"/>
      <w:i/>
      <w:color w:val="605F61"/>
      <w:sz w:val="22"/>
    </w:rPr>
  </w:style>
  <w:style w:type="paragraph" w:customStyle="1" w:styleId="Titre5b">
    <w:name w:val="Titre 5 b"/>
    <w:basedOn w:val="Titre50"/>
    <w:link w:val="Titre5bCar"/>
    <w:pPr>
      <w:spacing w:before="120"/>
      <w:ind w:left="1008" w:hanging="1008"/>
      <w:jc w:val="left"/>
    </w:pPr>
    <w:rPr>
      <w:rFonts w:asciiTheme="majorHAnsi" w:hAnsiTheme="majorHAnsi"/>
      <w:bCs w:val="0"/>
      <w:i w:val="0"/>
      <w:iCs w:val="0"/>
    </w:rPr>
  </w:style>
  <w:style w:type="character" w:customStyle="1" w:styleId="ParagraphedelisteCar">
    <w:name w:val="Paragraphe de liste Car"/>
    <w:aliases w:val="texte de base Car,Puce focus Car,Normal bullet 2 Car,List Paragraph1 Car,Bullet list Car,Contact Car,calia titre 3 Car,texte tableau Car,Titre 1 Car1 Car,armelle Car Car,Ondertekst Avida Car,bullet 1 Car,List Paragraph Car"/>
    <w:basedOn w:val="Policepardfaut"/>
    <w:link w:val="Paragraphedeliste"/>
    <w:uiPriority w:val="34"/>
    <w:qFormat/>
    <w:rPr>
      <w:rFonts w:ascii="Arial" w:hAnsi="Arial"/>
      <w:color w:val="000000" w:themeColor="background1"/>
      <w:sz w:val="20"/>
      <w:lang w:eastAsia="fr-FR"/>
    </w:rPr>
  </w:style>
  <w:style w:type="character" w:customStyle="1" w:styleId="Titre5bCar">
    <w:name w:val="Titre 5 b Car"/>
    <w:basedOn w:val="Titre5Car"/>
    <w:link w:val="Titre5b"/>
    <w:rPr>
      <w:rFonts w:asciiTheme="majorHAnsi" w:eastAsiaTheme="majorEastAsia" w:hAnsiTheme="majorHAnsi" w:cstheme="majorBidi"/>
      <w:bCs w:val="0"/>
      <w:i w:val="0"/>
      <w:iCs w:val="0"/>
      <w:color w:val="605C5B" w:themeColor="text1"/>
      <w:sz w:val="20"/>
      <w:szCs w:val="20"/>
      <w:lang w:eastAsia="fr-FR"/>
    </w:rPr>
  </w:style>
  <w:style w:type="paragraph" w:customStyle="1" w:styleId="Car">
    <w:name w:val="Car"/>
    <w:basedOn w:val="Normal"/>
    <w:pPr>
      <w:spacing w:line="20" w:lineRule="exact"/>
      <w:jc w:val="left"/>
    </w:pPr>
    <w:rPr>
      <w:rFonts w:ascii="Times New Roman" w:eastAsia="Times New Roman" w:hAnsi="Times New Roman" w:cs="Times New Roman"/>
      <w:szCs w:val="20"/>
    </w:rPr>
  </w:style>
  <w:style w:type="table" w:customStyle="1" w:styleId="Grilledutableau2">
    <w:name w:val="Grille du tableau2"/>
    <w:basedOn w:val="TableauNormal"/>
    <w:next w:val="Grilledutableau"/>
    <w:uiPriority w:val="59"/>
    <w:pPr>
      <w:spacing w:after="0" w:line="240" w:lineRule="auto"/>
    </w:pPr>
    <w:rPr>
      <w:rFonts w:eastAsiaTheme="minorEastAsia"/>
      <w:lang w:eastAsia="fr-FR"/>
    </w:rPr>
    <w:tblPr>
      <w:tblBorders>
        <w:top w:val="single" w:sz="4" w:space="0" w:color="605C5B" w:themeColor="text1"/>
        <w:left w:val="single" w:sz="4" w:space="0" w:color="605C5B" w:themeColor="text1"/>
        <w:bottom w:val="single" w:sz="4" w:space="0" w:color="605C5B" w:themeColor="text1"/>
        <w:right w:val="single" w:sz="4" w:space="0" w:color="605C5B" w:themeColor="text1"/>
        <w:insideH w:val="single" w:sz="4" w:space="0" w:color="605C5B" w:themeColor="text1"/>
        <w:insideV w:val="single" w:sz="4" w:space="0" w:color="605C5B" w:themeColor="text1"/>
      </w:tblBorders>
    </w:tblPr>
  </w:style>
  <w:style w:type="paragraph" w:customStyle="1" w:styleId="RedTitre1">
    <w:name w:val="RedTitre1"/>
    <w:basedOn w:val="Normal"/>
    <w:pPr>
      <w:framePr w:hSpace="142" w:wrap="auto" w:vAnchor="text" w:hAnchor="text" w:xAlign="center" w:y="1"/>
      <w:spacing w:line="240" w:lineRule="auto"/>
      <w:jc w:val="center"/>
    </w:pPr>
    <w:rPr>
      <w:rFonts w:eastAsia="Times New Roman" w:cs="Arial"/>
      <w:b/>
      <w:bCs/>
      <w:sz w:val="22"/>
    </w:rPr>
  </w:style>
  <w:style w:type="paragraph" w:styleId="NormalWeb">
    <w:name w:val="Normal (Web)"/>
    <w:basedOn w:val="Normal"/>
    <w:link w:val="NormalWebCar"/>
    <w:uiPriority w:val="99"/>
    <w:unhideWhenUsed/>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unhideWhenUsed/>
    <w:pPr>
      <w:spacing w:line="240" w:lineRule="auto"/>
    </w:pPr>
    <w:rPr>
      <w:szCs w:val="20"/>
    </w:rPr>
  </w:style>
  <w:style w:type="character" w:customStyle="1" w:styleId="CommentaireCar">
    <w:name w:val="Commentaire Car"/>
    <w:basedOn w:val="Policepardfaut"/>
    <w:link w:val="Commentaire"/>
    <w:uiPriority w:val="99"/>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rFonts w:ascii="Arial" w:hAnsi="Arial"/>
      <w:b/>
      <w:bCs/>
      <w:sz w:val="20"/>
      <w:szCs w:val="20"/>
    </w:rPr>
  </w:style>
  <w:style w:type="paragraph" w:styleId="Rvision">
    <w:name w:val="Revision"/>
    <w:hidden/>
    <w:uiPriority w:val="99"/>
    <w:semiHidden/>
    <w:pPr>
      <w:spacing w:after="0" w:line="240" w:lineRule="auto"/>
    </w:pPr>
    <w:rPr>
      <w:rFonts w:ascii="Arial" w:hAnsi="Arial"/>
      <w:sz w:val="20"/>
    </w:rPr>
  </w:style>
  <w:style w:type="paragraph" w:customStyle="1" w:styleId="Default">
    <w:name w:val="Default"/>
    <w:pPr>
      <w:spacing w:after="0" w:line="240" w:lineRule="auto"/>
    </w:pPr>
    <w:rPr>
      <w:rFonts w:ascii="Arial" w:hAnsi="Arial" w:cs="Arial"/>
      <w:color w:val="000000"/>
      <w:sz w:val="24"/>
      <w:szCs w:val="24"/>
    </w:rPr>
  </w:style>
  <w:style w:type="table" w:customStyle="1" w:styleId="Grilledutableau4">
    <w:name w:val="Grille du tableau4"/>
    <w:basedOn w:val="TableauNormal"/>
    <w:next w:val="Grilledutableau"/>
    <w:pPr>
      <w:spacing w:after="0" w:line="240" w:lineRule="auto"/>
    </w:pPr>
    <w:rPr>
      <w:rFonts w:ascii="Times New Roman" w:eastAsia="Times New Roman"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LTEREA">
    <w:name w:val="ALTEREA"/>
    <w:basedOn w:val="Sansinterligne"/>
    <w:link w:val="ALTEREACar"/>
  </w:style>
  <w:style w:type="character" w:customStyle="1" w:styleId="ALTEREACar">
    <w:name w:val="ALTEREA Car"/>
    <w:basedOn w:val="Policepardfaut"/>
    <w:link w:val="ALTEREA"/>
    <w:rPr>
      <w:rFonts w:ascii="Arial" w:eastAsiaTheme="minorEastAsia" w:hAnsi="Arial" w:cs="Times New Roman"/>
      <w:sz w:val="16"/>
      <w:szCs w:val="20"/>
      <w:lang w:eastAsia="fr-FR"/>
    </w:rPr>
  </w:style>
  <w:style w:type="table" w:customStyle="1" w:styleId="Grilledutableau3">
    <w:name w:val="Grille du tableau3"/>
    <w:basedOn w:val="TableauNormal"/>
    <w:next w:val="Grilledutableau"/>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gende">
    <w:name w:val="caption"/>
    <w:basedOn w:val="Normal"/>
    <w:next w:val="Normal"/>
    <w:link w:val="LgendeCar"/>
    <w:uiPriority w:val="35"/>
    <w:unhideWhenUsed/>
    <w:qFormat/>
    <w:pPr>
      <w:spacing w:before="120" w:after="0" w:line="240" w:lineRule="auto"/>
      <w:jc w:val="center"/>
    </w:pPr>
    <w:rPr>
      <w:b/>
      <w:bCs/>
      <w:color w:val="F3C345" w:themeColor="accent1"/>
      <w:sz w:val="18"/>
      <w:szCs w:val="18"/>
    </w:rPr>
  </w:style>
  <w:style w:type="paragraph" w:customStyle="1" w:styleId="Corps">
    <w:name w:val="Corps"/>
    <w:pPr>
      <w:pBdr>
        <w:top w:val="none" w:sz="4" w:space="0" w:color="000000"/>
        <w:left w:val="none" w:sz="4" w:space="0" w:color="000000"/>
        <w:bottom w:val="none" w:sz="4" w:space="0" w:color="000000"/>
        <w:right w:val="none" w:sz="4" w:space="0" w:color="000000"/>
        <w:between w:val="none" w:sz="4" w:space="0" w:color="000000"/>
      </w:pBdr>
      <w:jc w:val="both"/>
    </w:pPr>
    <w:rPr>
      <w:rFonts w:ascii="Arial" w:eastAsia="Arial Unicode MS" w:hAnsi="Arial Unicode MS" w:cs="Arial Unicode MS"/>
      <w:color w:val="000000"/>
      <w:sz w:val="20"/>
      <w:szCs w:val="20"/>
      <w:lang w:val="es-ES_tradnl" w:eastAsia="fr-FR"/>
    </w:rPr>
  </w:style>
  <w:style w:type="table" w:styleId="Grilleclaire">
    <w:name w:val="Light Grid"/>
    <w:basedOn w:val="TableauNormal"/>
    <w:uiPriority w:val="62"/>
    <w:pPr>
      <w:spacing w:after="0" w:line="240" w:lineRule="auto"/>
    </w:pPr>
    <w:rPr>
      <w:lang w:eastAsia="fr-FR"/>
    </w:rPr>
    <w:tblPr>
      <w:tblStyleRowBandSize w:val="1"/>
      <w:tblStyleColBandSize w:val="1"/>
      <w:tblBorders>
        <w:top w:val="single" w:sz="8" w:space="0" w:color="605C5B" w:themeColor="text1"/>
        <w:left w:val="single" w:sz="8" w:space="0" w:color="605C5B" w:themeColor="text1"/>
        <w:bottom w:val="single" w:sz="8" w:space="0" w:color="605C5B" w:themeColor="text1"/>
        <w:right w:val="single" w:sz="8" w:space="0" w:color="605C5B" w:themeColor="text1"/>
        <w:insideH w:val="single" w:sz="8" w:space="0" w:color="605C5B" w:themeColor="text1"/>
        <w:insideV w:val="single" w:sz="8" w:space="0" w:color="605C5B"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5C5B" w:themeColor="text1"/>
          <w:left w:val="single" w:sz="8" w:space="0" w:color="605C5B" w:themeColor="text1"/>
          <w:bottom w:val="single" w:sz="18" w:space="0" w:color="605C5B" w:themeColor="text1"/>
          <w:right w:val="single" w:sz="8" w:space="0" w:color="605C5B" w:themeColor="text1"/>
          <w:insideH w:val="none" w:sz="4" w:space="0" w:color="000000"/>
          <w:insideV w:val="single" w:sz="8" w:space="0" w:color="605C5B"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single" w:sz="6" w:space="0" w:color="605C5B" w:themeColor="text1"/>
          <w:left w:val="single" w:sz="8" w:space="0" w:color="605C5B" w:themeColor="text1"/>
          <w:bottom w:val="single" w:sz="8" w:space="0" w:color="605C5B" w:themeColor="text1"/>
          <w:right w:val="single" w:sz="8" w:space="0" w:color="605C5B" w:themeColor="text1"/>
          <w:insideH w:val="none" w:sz="4" w:space="0" w:color="000000"/>
          <w:insideV w:val="single" w:sz="8" w:space="0" w:color="605C5B"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5C5B" w:themeColor="text1"/>
          <w:left w:val="single" w:sz="8" w:space="0" w:color="605C5B" w:themeColor="text1"/>
          <w:bottom w:val="single" w:sz="8" w:space="0" w:color="605C5B" w:themeColor="text1"/>
          <w:right w:val="single" w:sz="8" w:space="0" w:color="605C5B" w:themeColor="text1"/>
        </w:tcBorders>
      </w:tcPr>
    </w:tblStylePr>
    <w:tblStylePr w:type="band1Vert">
      <w:tblPr/>
      <w:tcPr>
        <w:tcBorders>
          <w:top w:val="single" w:sz="8" w:space="0" w:color="605C5B" w:themeColor="text1"/>
          <w:left w:val="single" w:sz="8" w:space="0" w:color="605C5B" w:themeColor="text1"/>
          <w:bottom w:val="single" w:sz="8" w:space="0" w:color="605C5B" w:themeColor="text1"/>
          <w:right w:val="single" w:sz="8" w:space="0" w:color="605C5B" w:themeColor="text1"/>
        </w:tcBorders>
        <w:shd w:val="clear" w:color="auto" w:fill="D8D6D5" w:themeFill="text1" w:themeFillTint="3F"/>
      </w:tcPr>
    </w:tblStylePr>
    <w:tblStylePr w:type="band1Horz">
      <w:tblPr/>
      <w:tcPr>
        <w:tcBorders>
          <w:top w:val="single" w:sz="8" w:space="0" w:color="605C5B" w:themeColor="text1"/>
          <w:left w:val="single" w:sz="8" w:space="0" w:color="605C5B" w:themeColor="text1"/>
          <w:bottom w:val="single" w:sz="8" w:space="0" w:color="605C5B" w:themeColor="text1"/>
          <w:right w:val="single" w:sz="8" w:space="0" w:color="605C5B" w:themeColor="text1"/>
          <w:insideV w:val="single" w:sz="8" w:space="0" w:color="605C5B" w:themeColor="text1"/>
        </w:tcBorders>
        <w:shd w:val="clear" w:color="auto" w:fill="D8D6D5" w:themeFill="text1" w:themeFillTint="3F"/>
      </w:tcPr>
    </w:tblStylePr>
    <w:tblStylePr w:type="band2Horz">
      <w:tblPr/>
      <w:tcPr>
        <w:tcBorders>
          <w:top w:val="single" w:sz="8" w:space="0" w:color="605C5B" w:themeColor="text1"/>
          <w:left w:val="single" w:sz="8" w:space="0" w:color="605C5B" w:themeColor="text1"/>
          <w:bottom w:val="single" w:sz="8" w:space="0" w:color="605C5B" w:themeColor="text1"/>
          <w:right w:val="single" w:sz="8" w:space="0" w:color="605C5B" w:themeColor="text1"/>
          <w:insideV w:val="single" w:sz="8" w:space="0" w:color="605C5B" w:themeColor="text1"/>
        </w:tcBorders>
      </w:tcPr>
    </w:tblStylePr>
  </w:style>
  <w:style w:type="paragraph" w:styleId="Listepuces">
    <w:name w:val="List Bullet"/>
    <w:basedOn w:val="Normal"/>
    <w:pPr>
      <w:spacing w:line="240" w:lineRule="auto"/>
    </w:pPr>
    <w:rPr>
      <w:rFonts w:eastAsia="Times New Roman" w:cs="Arial"/>
      <w:szCs w:val="20"/>
    </w:rPr>
  </w:style>
  <w:style w:type="character" w:styleId="lev">
    <w:name w:val="Strong"/>
    <w:basedOn w:val="Policepardfaut"/>
    <w:uiPriority w:val="22"/>
    <w:qFormat/>
    <w:rPr>
      <w:b/>
      <w:bCs/>
    </w:rPr>
  </w:style>
  <w:style w:type="character" w:customStyle="1" w:styleId="texte-contenu">
    <w:name w:val="texte-contenu"/>
    <w:basedOn w:val="Policepardfaut"/>
  </w:style>
  <w:style w:type="character" w:customStyle="1" w:styleId="apple-converted-space">
    <w:name w:val="apple-converted-space"/>
    <w:basedOn w:val="Policepardfaut"/>
  </w:style>
  <w:style w:type="table" w:customStyle="1" w:styleId="Altrabase1">
    <w:name w:val="Altéréa base1"/>
    <w:basedOn w:val="TableauNormal"/>
    <w:next w:val="Tramemoyenne1-Accent1"/>
    <w:uiPriority w:val="63"/>
    <w:pPr>
      <w:spacing w:after="0" w:line="240" w:lineRule="auto"/>
    </w:pPr>
    <w:rPr>
      <w:rFonts w:ascii="Arial" w:hAnsi="Arial"/>
      <w:color w:val="605C5B"/>
      <w:sz w:val="20"/>
    </w:rPr>
    <w:tblPr>
      <w:tblStyleRowBandSize w:val="1"/>
      <w:tblStyleColBandSize w:val="1"/>
      <w:tblBorders>
        <w:top w:val="single" w:sz="8" w:space="0" w:color="605C5B"/>
        <w:left w:val="single" w:sz="8" w:space="0" w:color="605C5B"/>
        <w:bottom w:val="single" w:sz="8" w:space="0" w:color="605C5B"/>
        <w:right w:val="single" w:sz="8" w:space="0" w:color="605C5B"/>
        <w:insideV w:val="single" w:sz="8" w:space="0" w:color="605C5B"/>
      </w:tblBorders>
    </w:tblPr>
    <w:tblStylePr w:type="firstRow">
      <w:pPr>
        <w:spacing w:before="0" w:beforeAutospacing="0" w:after="0" w:afterAutospacing="0" w:line="240" w:lineRule="auto"/>
        <w:jc w:val="center"/>
      </w:pPr>
      <w:rPr>
        <w:rFonts w:ascii="Arial" w:hAnsi="Arial"/>
        <w:b/>
        <w:bCs/>
        <w:color w:val="F7D586"/>
        <w:sz w:val="20"/>
      </w:rPr>
      <w:tblPr/>
      <w:tcPr>
        <w:shd w:val="clear" w:color="auto" w:fill="F7D586"/>
      </w:tcPr>
    </w:tblStylePr>
    <w:tblStylePr w:type="lastRow">
      <w:pPr>
        <w:spacing w:before="0" w:after="0" w:line="240" w:lineRule="auto"/>
      </w:pPr>
      <w:rPr>
        <w:b/>
        <w:bCs/>
      </w:rPr>
      <w:tblPr/>
      <w:tcPr>
        <w:tcBorders>
          <w:top w:val="single" w:sz="6" w:space="0" w:color="F6D173"/>
          <w:left w:val="single" w:sz="8" w:space="0" w:color="F6D173"/>
          <w:bottom w:val="single" w:sz="8" w:space="0" w:color="F6D173"/>
          <w:right w:val="single" w:sz="8" w:space="0" w:color="F6D173"/>
          <w:insideH w:val="none" w:sz="4" w:space="0" w:color="000000"/>
          <w:insideV w:val="none" w:sz="4" w:space="0" w:color="000000"/>
        </w:tcBorders>
      </w:tcPr>
    </w:tblStylePr>
    <w:tblStylePr w:type="firstCol">
      <w:rPr>
        <w:b w:val="0"/>
        <w:bCs/>
      </w:rPr>
    </w:tblStylePr>
    <w:tblStylePr w:type="lastCol">
      <w:rPr>
        <w:b/>
        <w:bCs/>
      </w:rPr>
    </w:tblStylePr>
    <w:tblStylePr w:type="band1Vert">
      <w:rPr>
        <w:rFonts w:ascii="Arial" w:hAnsi="Arial"/>
        <w:sz w:val="20"/>
      </w:rPr>
    </w:tblStylePr>
    <w:tblStylePr w:type="band2Vert">
      <w:pPr>
        <w:jc w:val="left"/>
      </w:pPr>
      <w:rPr>
        <w:rFonts w:ascii="Arial" w:hAnsi="Arial"/>
        <w:sz w:val="20"/>
      </w:rPr>
    </w:tblStylePr>
    <w:tblStylePr w:type="band1Horz">
      <w:rPr>
        <w:rFonts w:ascii="Arial" w:hAnsi="Arial"/>
        <w:sz w:val="20"/>
      </w:rPr>
    </w:tblStylePr>
    <w:tblStylePr w:type="band2Horz">
      <w:rPr>
        <w:rFonts w:ascii="Arial" w:hAnsi="Arial"/>
        <w:color w:val="605C5B"/>
        <w:sz w:val="20"/>
      </w:rPr>
      <w:tblPr/>
      <w:tcPr>
        <w:shd w:val="clear" w:color="auto" w:fill="FFF0D5"/>
      </w:tcPr>
    </w:tblStylePr>
    <w:tblStylePr w:type="nwCell">
      <w:rPr>
        <w:rFonts w:ascii="Arial" w:hAnsi="Arial"/>
        <w:sz w:val="20"/>
      </w:rPr>
    </w:tblStylePr>
  </w:style>
  <w:style w:type="table" w:styleId="Tramemoyenne1-Accent1">
    <w:name w:val="Medium Shading 1 Accent 1"/>
    <w:basedOn w:val="TableauNormal"/>
    <w:uiPriority w:val="63"/>
    <w:pPr>
      <w:spacing w:after="0" w:line="240" w:lineRule="auto"/>
    </w:pPr>
    <w:rPr>
      <w:rFonts w:ascii="Arial" w:hAnsi="Arial"/>
      <w:color w:val="605C5B" w:themeColor="text1"/>
      <w:sz w:val="20"/>
      <w:lang w:eastAsia="fr-FR"/>
    </w:rPr>
    <w:tblPr>
      <w:tblStyleRowBandSize w:val="1"/>
      <w:tblStyleColBandSize w:val="1"/>
      <w:tblBorders>
        <w:top w:val="single" w:sz="8" w:space="0" w:color="605C5B" w:themeColor="text1"/>
        <w:left w:val="single" w:sz="8" w:space="0" w:color="605C5B" w:themeColor="text1"/>
        <w:bottom w:val="single" w:sz="8" w:space="0" w:color="605C5B" w:themeColor="text1"/>
        <w:right w:val="single" w:sz="8" w:space="0" w:color="605C5B" w:themeColor="text1"/>
        <w:insideV w:val="single" w:sz="8" w:space="0" w:color="605C5B" w:themeColor="text1"/>
      </w:tblBorders>
    </w:tblPr>
    <w:tblStylePr w:type="firstRow">
      <w:pPr>
        <w:spacing w:before="0" w:beforeAutospacing="0" w:after="0" w:afterAutospacing="0" w:line="240" w:lineRule="auto"/>
        <w:jc w:val="center"/>
      </w:pPr>
      <w:rPr>
        <w:rFonts w:ascii="Arial" w:hAnsi="Arial"/>
        <w:b/>
        <w:bCs/>
        <w:color w:val="F7D586" w:themeColor="accent2"/>
        <w:sz w:val="20"/>
      </w:rPr>
      <w:tblPr/>
      <w:tcPr>
        <w:shd w:val="clear" w:color="auto" w:fill="F7D586" w:themeFill="accent2"/>
      </w:tcPr>
    </w:tblStylePr>
    <w:tblStylePr w:type="lastRow">
      <w:pPr>
        <w:spacing w:before="0" w:after="0" w:line="240" w:lineRule="auto"/>
      </w:pPr>
      <w:rPr>
        <w:b/>
        <w:bCs/>
      </w:rPr>
      <w:tblPr/>
      <w:tcPr>
        <w:tcBorders>
          <w:top w:val="single" w:sz="6" w:space="0" w:color="F6D173" w:themeColor="accent1" w:themeTint="BF"/>
          <w:left w:val="single" w:sz="8" w:space="0" w:color="F6D173" w:themeColor="accent1" w:themeTint="BF"/>
          <w:bottom w:val="single" w:sz="8" w:space="0" w:color="F6D173" w:themeColor="accent1" w:themeTint="BF"/>
          <w:right w:val="single" w:sz="8" w:space="0" w:color="F6D173" w:themeColor="accent1" w:themeTint="BF"/>
          <w:insideH w:val="none" w:sz="4" w:space="0" w:color="000000"/>
          <w:insideV w:val="none" w:sz="4" w:space="0" w:color="000000"/>
        </w:tcBorders>
      </w:tcPr>
    </w:tblStylePr>
    <w:tblStylePr w:type="firstCol">
      <w:rPr>
        <w:b w:val="0"/>
        <w:bCs/>
      </w:rPr>
    </w:tblStylePr>
    <w:tblStylePr w:type="lastCol">
      <w:rPr>
        <w:b/>
        <w:bCs/>
      </w:rPr>
    </w:tblStylePr>
    <w:tblStylePr w:type="band1Vert">
      <w:rPr>
        <w:rFonts w:ascii="Arial" w:hAnsi="Arial"/>
        <w:sz w:val="20"/>
      </w:rPr>
    </w:tblStylePr>
    <w:tblStylePr w:type="band2Vert">
      <w:pPr>
        <w:jc w:val="left"/>
      </w:pPr>
      <w:rPr>
        <w:rFonts w:ascii="Arial" w:hAnsi="Arial"/>
        <w:sz w:val="20"/>
      </w:rPr>
    </w:tblStylePr>
    <w:tblStylePr w:type="band1Horz">
      <w:rPr>
        <w:rFonts w:ascii="Arial" w:hAnsi="Arial"/>
        <w:sz w:val="20"/>
      </w:rPr>
    </w:tblStylePr>
    <w:tblStylePr w:type="band2Horz">
      <w:rPr>
        <w:rFonts w:ascii="Arial" w:hAnsi="Arial"/>
        <w:color w:val="605C5B" w:themeColor="text1"/>
        <w:sz w:val="20"/>
      </w:rPr>
      <w:tblPr/>
      <w:tcPr>
        <w:shd w:val="clear" w:color="auto" w:fill="FFF0D5" w:themeFill="accent3"/>
      </w:tcPr>
    </w:tblStylePr>
    <w:tblStylePr w:type="nwCell">
      <w:rPr>
        <w:rFonts w:ascii="Arial" w:hAnsi="Arial"/>
        <w:sz w:val="20"/>
      </w:rPr>
    </w:tblStylePr>
  </w:style>
  <w:style w:type="paragraph" w:customStyle="1" w:styleId="Style1">
    <w:name w:val="Style1"/>
    <w:basedOn w:val="Normal"/>
    <w:link w:val="Style1Car"/>
    <w:pPr>
      <w:tabs>
        <w:tab w:val="num" w:pos="-351"/>
      </w:tabs>
      <w:ind w:left="-351" w:hanging="360"/>
    </w:pPr>
    <w:rPr>
      <w:rFonts w:cs="Arial"/>
      <w:sz w:val="18"/>
    </w:rPr>
  </w:style>
  <w:style w:type="character" w:customStyle="1" w:styleId="Style1Car">
    <w:name w:val="Style1 Car"/>
    <w:basedOn w:val="Policepardfaut"/>
    <w:link w:val="Style1"/>
    <w:rPr>
      <w:rFonts w:ascii="Arial" w:hAnsi="Arial" w:cs="Arial"/>
      <w:sz w:val="18"/>
    </w:rPr>
  </w:style>
  <w:style w:type="character" w:styleId="Rfrenceintense">
    <w:name w:val="Intense Reference"/>
    <w:basedOn w:val="Policepardfaut"/>
    <w:uiPriority w:val="32"/>
    <w:rPr>
      <w:b/>
      <w:bCs/>
      <w:smallCaps/>
      <w:color w:val="F7D586" w:themeColor="accent2"/>
      <w:spacing w:val="5"/>
      <w:u w:val="single"/>
    </w:rPr>
  </w:style>
  <w:style w:type="table" w:styleId="Grilleclaire-Accent1">
    <w:name w:val="Light Grid Accent 1"/>
    <w:basedOn w:val="TableauNormal"/>
    <w:uiPriority w:val="62"/>
    <w:pPr>
      <w:spacing w:after="0" w:line="240" w:lineRule="auto"/>
    </w:pPr>
    <w:tblPr>
      <w:tblStyleRowBandSize w:val="1"/>
      <w:tblStyleColBandSize w:val="1"/>
      <w:tblBorders>
        <w:top w:val="single" w:sz="8" w:space="0" w:color="F3C345" w:themeColor="accent1"/>
        <w:left w:val="single" w:sz="8" w:space="0" w:color="F3C345" w:themeColor="accent1"/>
        <w:bottom w:val="single" w:sz="8" w:space="0" w:color="F3C345" w:themeColor="accent1"/>
        <w:right w:val="single" w:sz="8" w:space="0" w:color="F3C345" w:themeColor="accent1"/>
        <w:insideH w:val="single" w:sz="8" w:space="0" w:color="F3C345" w:themeColor="accent1"/>
        <w:insideV w:val="single" w:sz="8" w:space="0" w:color="F3C34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3C345" w:themeColor="accent1"/>
          <w:left w:val="single" w:sz="8" w:space="0" w:color="F3C345" w:themeColor="accent1"/>
          <w:bottom w:val="single" w:sz="18" w:space="0" w:color="F3C345" w:themeColor="accent1"/>
          <w:right w:val="single" w:sz="8" w:space="0" w:color="F3C345" w:themeColor="accent1"/>
          <w:insideH w:val="none" w:sz="4" w:space="0" w:color="000000"/>
          <w:insideV w:val="single" w:sz="8" w:space="0" w:color="F3C34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single" w:sz="6" w:space="0" w:color="F3C345" w:themeColor="accent1"/>
          <w:left w:val="single" w:sz="8" w:space="0" w:color="F3C345" w:themeColor="accent1"/>
          <w:bottom w:val="single" w:sz="8" w:space="0" w:color="F3C345" w:themeColor="accent1"/>
          <w:right w:val="single" w:sz="8" w:space="0" w:color="F3C345" w:themeColor="accent1"/>
          <w:insideH w:val="none" w:sz="4" w:space="0" w:color="000000"/>
          <w:insideV w:val="single" w:sz="8" w:space="0" w:color="F3C34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3C345" w:themeColor="accent1"/>
          <w:left w:val="single" w:sz="8" w:space="0" w:color="F3C345" w:themeColor="accent1"/>
          <w:bottom w:val="single" w:sz="8" w:space="0" w:color="F3C345" w:themeColor="accent1"/>
          <w:right w:val="single" w:sz="8" w:space="0" w:color="F3C345" w:themeColor="accent1"/>
        </w:tcBorders>
      </w:tcPr>
    </w:tblStylePr>
    <w:tblStylePr w:type="band1Vert">
      <w:tblPr/>
      <w:tcPr>
        <w:tcBorders>
          <w:top w:val="single" w:sz="8" w:space="0" w:color="F3C345" w:themeColor="accent1"/>
          <w:left w:val="single" w:sz="8" w:space="0" w:color="F3C345" w:themeColor="accent1"/>
          <w:bottom w:val="single" w:sz="8" w:space="0" w:color="F3C345" w:themeColor="accent1"/>
          <w:right w:val="single" w:sz="8" w:space="0" w:color="F3C345" w:themeColor="accent1"/>
        </w:tcBorders>
        <w:shd w:val="clear" w:color="auto" w:fill="FCF0D0" w:themeFill="accent1" w:themeFillTint="3F"/>
      </w:tcPr>
    </w:tblStylePr>
    <w:tblStylePr w:type="band1Horz">
      <w:tblPr/>
      <w:tcPr>
        <w:tcBorders>
          <w:top w:val="single" w:sz="8" w:space="0" w:color="F3C345" w:themeColor="accent1"/>
          <w:left w:val="single" w:sz="8" w:space="0" w:color="F3C345" w:themeColor="accent1"/>
          <w:bottom w:val="single" w:sz="8" w:space="0" w:color="F3C345" w:themeColor="accent1"/>
          <w:right w:val="single" w:sz="8" w:space="0" w:color="F3C345" w:themeColor="accent1"/>
          <w:insideV w:val="single" w:sz="8" w:space="0" w:color="F3C345" w:themeColor="accent1"/>
        </w:tcBorders>
        <w:shd w:val="clear" w:color="auto" w:fill="FCF0D0" w:themeFill="accent1" w:themeFillTint="3F"/>
      </w:tcPr>
    </w:tblStylePr>
    <w:tblStylePr w:type="band2Horz">
      <w:tblPr/>
      <w:tcPr>
        <w:tcBorders>
          <w:top w:val="single" w:sz="8" w:space="0" w:color="F3C345" w:themeColor="accent1"/>
          <w:left w:val="single" w:sz="8" w:space="0" w:color="F3C345" w:themeColor="accent1"/>
          <w:bottom w:val="single" w:sz="8" w:space="0" w:color="F3C345" w:themeColor="accent1"/>
          <w:right w:val="single" w:sz="8" w:space="0" w:color="F3C345" w:themeColor="accent1"/>
          <w:insideV w:val="single" w:sz="8" w:space="0" w:color="F3C345" w:themeColor="accent1"/>
        </w:tcBorders>
      </w:tcPr>
    </w:tblStylePr>
  </w:style>
  <w:style w:type="paragraph" w:styleId="En-ttedetabledesmatires">
    <w:name w:val="TOC Heading"/>
    <w:basedOn w:val="Titre1"/>
    <w:next w:val="Normal"/>
    <w:uiPriority w:val="39"/>
    <w:unhideWhenUsed/>
    <w:qFormat/>
    <w:pPr>
      <w:pageBreakBefore w:val="0"/>
      <w:spacing w:after="480"/>
      <w:ind w:left="0" w:firstLine="0"/>
      <w:jc w:val="center"/>
      <w:outlineLvl w:val="9"/>
    </w:pPr>
    <w:rPr>
      <w:rFonts w:eastAsiaTheme="minorHAnsi" w:cstheme="minorBidi"/>
      <w:caps/>
      <w:smallCaps w:val="0"/>
      <w:sz w:val="32"/>
      <w:szCs w:val="32"/>
    </w:rPr>
  </w:style>
  <w:style w:type="paragraph" w:customStyle="1" w:styleId="Puce10">
    <w:name w:val="Puce 1"/>
    <w:basedOn w:val="Normal"/>
    <w:pPr>
      <w:numPr>
        <w:numId w:val="4"/>
      </w:numPr>
      <w:spacing w:before="60" w:line="240" w:lineRule="auto"/>
      <w:outlineLvl w:val="1"/>
    </w:pPr>
    <w:rPr>
      <w:rFonts w:eastAsia="Times New Roman" w:cs="Times New Roman"/>
      <w:szCs w:val="20"/>
    </w:rPr>
  </w:style>
  <w:style w:type="paragraph" w:customStyle="1" w:styleId="BA">
    <w:name w:val="BA"/>
    <w:basedOn w:val="Normal"/>
    <w:pPr>
      <w:spacing w:line="240" w:lineRule="auto"/>
      <w:jc w:val="left"/>
    </w:pPr>
    <w:rPr>
      <w:rFonts w:ascii="Tahoma" w:eastAsia="Times New Roman" w:hAnsi="Tahoma" w:cs="Tahoma"/>
      <w:szCs w:val="20"/>
    </w:rPr>
  </w:style>
  <w:style w:type="paragraph" w:customStyle="1" w:styleId="PA">
    <w:name w:val="PA"/>
    <w:basedOn w:val="Normal"/>
    <w:next w:val="BA"/>
    <w:pPr>
      <w:spacing w:line="240" w:lineRule="auto"/>
      <w:jc w:val="left"/>
    </w:pPr>
    <w:rPr>
      <w:rFonts w:ascii="Tahoma" w:eastAsia="Times New Roman" w:hAnsi="Tahoma" w:cs="Tahoma"/>
      <w:b/>
      <w:szCs w:val="20"/>
      <w:u w:val="single"/>
    </w:rPr>
  </w:style>
  <w:style w:type="paragraph" w:customStyle="1" w:styleId="BC">
    <w:name w:val="BC"/>
    <w:basedOn w:val="BA"/>
    <w:pPr>
      <w:ind w:left="170" w:hanging="170"/>
    </w:pPr>
  </w:style>
  <w:style w:type="character" w:customStyle="1" w:styleId="Titre8Car">
    <w:name w:val="Titre 8 Car"/>
    <w:basedOn w:val="Policepardfaut"/>
    <w:link w:val="Titre8"/>
    <w:uiPriority w:val="9"/>
    <w:rPr>
      <w:rFonts w:asciiTheme="majorHAnsi" w:eastAsiaTheme="majorEastAsia" w:hAnsiTheme="majorHAnsi" w:cstheme="majorBidi"/>
      <w:color w:val="898482" w:themeColor="text1" w:themeTint="BF"/>
      <w:sz w:val="20"/>
      <w:szCs w:val="20"/>
      <w:lang w:eastAsia="fr-FR"/>
    </w:rPr>
  </w:style>
  <w:style w:type="table" w:styleId="Tableaucontemporain">
    <w:name w:val="Table Contemporary"/>
    <w:basedOn w:val="TableauNormal"/>
    <w:uiPriority w:val="99"/>
    <w:semiHidden/>
    <w:unhideWhenUsed/>
    <w:pPr>
      <w:jc w:val="both"/>
    </w:p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paragraph" w:customStyle="1" w:styleId="font5">
    <w:name w:val="font5"/>
    <w:basedOn w:val="Normal"/>
    <w:pPr>
      <w:spacing w:before="100" w:beforeAutospacing="1" w:after="100" w:afterAutospacing="1" w:line="240" w:lineRule="auto"/>
      <w:jc w:val="left"/>
    </w:pPr>
    <w:rPr>
      <w:rFonts w:eastAsia="Times New Roman" w:cs="Arial"/>
      <w:sz w:val="16"/>
      <w:szCs w:val="16"/>
    </w:rPr>
  </w:style>
  <w:style w:type="paragraph" w:customStyle="1" w:styleId="font6">
    <w:name w:val="font6"/>
    <w:basedOn w:val="Normal"/>
    <w:pPr>
      <w:spacing w:before="100" w:beforeAutospacing="1" w:after="100" w:afterAutospacing="1" w:line="240" w:lineRule="auto"/>
      <w:jc w:val="left"/>
    </w:pPr>
    <w:rPr>
      <w:rFonts w:eastAsia="Times New Roman" w:cs="Arial"/>
      <w:sz w:val="16"/>
      <w:szCs w:val="16"/>
    </w:rPr>
  </w:style>
  <w:style w:type="paragraph" w:customStyle="1" w:styleId="xl64">
    <w:name w:val="xl64"/>
    <w:basedOn w:val="Normal"/>
    <w:pPr>
      <w:spacing w:before="100" w:beforeAutospacing="1" w:after="100" w:afterAutospacing="1" w:line="240" w:lineRule="auto"/>
      <w:jc w:val="left"/>
    </w:pPr>
    <w:rPr>
      <w:rFonts w:ascii="Verdana" w:eastAsia="Times New Roman" w:hAnsi="Verdana" w:cs="Times New Roman"/>
      <w:sz w:val="16"/>
      <w:szCs w:val="16"/>
    </w:rPr>
  </w:style>
  <w:style w:type="paragraph" w:customStyle="1" w:styleId="xl65">
    <w:name w:val="xl65"/>
    <w:basedOn w:val="Normal"/>
    <w:pPr>
      <w:pBdr>
        <w:top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sz w:val="16"/>
      <w:szCs w:val="16"/>
    </w:rPr>
  </w:style>
  <w:style w:type="paragraph" w:customStyle="1" w:styleId="xl66">
    <w:name w:val="xl66"/>
    <w:basedOn w:val="Normal"/>
    <w:pPr>
      <w:pBdr>
        <w:top w:val="single" w:sz="4" w:space="0" w:color="auto"/>
        <w:left w:val="single" w:sz="4" w:space="0" w:color="auto"/>
      </w:pBdr>
      <w:spacing w:before="100" w:beforeAutospacing="1" w:after="100" w:afterAutospacing="1" w:line="240" w:lineRule="auto"/>
      <w:jc w:val="left"/>
    </w:pPr>
    <w:rPr>
      <w:rFonts w:ascii="Times New Roman" w:eastAsia="Times New Roman" w:hAnsi="Times New Roman" w:cs="Times New Roman"/>
      <w:sz w:val="16"/>
      <w:szCs w:val="16"/>
    </w:rPr>
  </w:style>
  <w:style w:type="paragraph" w:customStyle="1" w:styleId="xl67">
    <w:name w:val="xl67"/>
    <w:basedOn w:val="Normal"/>
    <w:pPr>
      <w:pBdr>
        <w:top w:val="single" w:sz="4" w:space="0" w:color="auto"/>
      </w:pBdr>
      <w:spacing w:before="100" w:beforeAutospacing="1" w:after="100" w:afterAutospacing="1" w:line="240" w:lineRule="auto"/>
      <w:jc w:val="left"/>
    </w:pPr>
    <w:rPr>
      <w:rFonts w:ascii="Times New Roman" w:eastAsia="Times New Roman" w:hAnsi="Times New Roman" w:cs="Times New Roman"/>
      <w:sz w:val="16"/>
      <w:szCs w:val="16"/>
    </w:rPr>
  </w:style>
  <w:style w:type="paragraph" w:customStyle="1" w:styleId="xl68">
    <w:name w:val="xl68"/>
    <w:basedOn w:val="Normal"/>
    <w:pPr>
      <w:pBdr>
        <w:top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16"/>
      <w:szCs w:val="16"/>
    </w:rPr>
  </w:style>
  <w:style w:type="paragraph" w:customStyle="1" w:styleId="xl69">
    <w:name w:val="xl69"/>
    <w:basedOn w:val="Normal"/>
    <w:pPr>
      <w:pBdr>
        <w:left w:val="single" w:sz="4" w:space="0" w:color="auto"/>
      </w:pBdr>
      <w:spacing w:before="100" w:beforeAutospacing="1" w:after="100" w:afterAutospacing="1" w:line="240" w:lineRule="auto"/>
      <w:jc w:val="left"/>
    </w:pPr>
    <w:rPr>
      <w:rFonts w:ascii="Verdana" w:eastAsia="Times New Roman" w:hAnsi="Verdana" w:cs="Times New Roman"/>
      <w:sz w:val="16"/>
      <w:szCs w:val="16"/>
    </w:rPr>
  </w:style>
  <w:style w:type="paragraph" w:customStyle="1" w:styleId="xl100">
    <w:name w:val="xl100"/>
    <w:basedOn w:val="Normal"/>
    <w:pPr>
      <w:pBdr>
        <w:bottom w:val="single" w:sz="4" w:space="0" w:color="auto"/>
      </w:pBdr>
      <w:shd w:val="clear" w:color="000000" w:fill="525252"/>
      <w:spacing w:before="100" w:beforeAutospacing="1" w:after="100" w:afterAutospacing="1" w:line="240" w:lineRule="auto"/>
      <w:jc w:val="left"/>
    </w:pPr>
    <w:rPr>
      <w:rFonts w:ascii="Times New Roman" w:eastAsia="Times New Roman" w:hAnsi="Times New Roman" w:cs="Times New Roman"/>
      <w:sz w:val="16"/>
      <w:szCs w:val="16"/>
    </w:rPr>
  </w:style>
  <w:style w:type="paragraph" w:customStyle="1" w:styleId="xl101">
    <w:name w:val="xl101"/>
    <w:basedOn w:val="Normal"/>
    <w:pPr>
      <w:pBdr>
        <w:top w:val="single" w:sz="4" w:space="0" w:color="auto"/>
      </w:pBdr>
      <w:shd w:val="clear" w:color="000000" w:fill="101010"/>
      <w:spacing w:before="100" w:beforeAutospacing="1" w:after="100" w:afterAutospacing="1" w:line="240" w:lineRule="auto"/>
      <w:jc w:val="left"/>
    </w:pPr>
    <w:rPr>
      <w:rFonts w:ascii="Times New Roman" w:eastAsia="Times New Roman" w:hAnsi="Times New Roman" w:cs="Times New Roman"/>
      <w:b/>
      <w:bCs/>
      <w:color w:val="FFFFFF"/>
      <w:sz w:val="14"/>
      <w:szCs w:val="14"/>
    </w:rPr>
  </w:style>
  <w:style w:type="paragraph" w:customStyle="1" w:styleId="xl102">
    <w:name w:val="xl102"/>
    <w:basedOn w:val="Normal"/>
    <w:pPr>
      <w:pBdr>
        <w:top w:val="single" w:sz="4" w:space="0" w:color="auto"/>
      </w:pBdr>
      <w:shd w:val="clear" w:color="000000" w:fill="101010"/>
      <w:spacing w:before="100" w:beforeAutospacing="1" w:after="100" w:afterAutospacing="1" w:line="240" w:lineRule="auto"/>
      <w:jc w:val="left"/>
    </w:pPr>
    <w:rPr>
      <w:rFonts w:ascii="Times New Roman" w:eastAsia="Times New Roman" w:hAnsi="Times New Roman" w:cs="Times New Roman"/>
      <w:sz w:val="16"/>
      <w:szCs w:val="16"/>
    </w:rPr>
  </w:style>
  <w:style w:type="paragraph" w:customStyle="1" w:styleId="xl103">
    <w:name w:val="xl103"/>
    <w:basedOn w:val="Normal"/>
    <w:pPr>
      <w:pBdr>
        <w:bottom w:val="single" w:sz="4" w:space="0" w:color="auto"/>
      </w:pBdr>
      <w:shd w:val="clear" w:color="000000" w:fill="101010"/>
      <w:spacing w:before="100" w:beforeAutospacing="1" w:after="100" w:afterAutospacing="1" w:line="240" w:lineRule="auto"/>
      <w:jc w:val="left"/>
    </w:pPr>
    <w:rPr>
      <w:rFonts w:ascii="Times New Roman" w:eastAsia="Times New Roman" w:hAnsi="Times New Roman" w:cs="Times New Roman"/>
      <w:b/>
      <w:bCs/>
      <w:color w:val="FFFFFF"/>
      <w:sz w:val="14"/>
      <w:szCs w:val="14"/>
    </w:rPr>
  </w:style>
  <w:style w:type="paragraph" w:customStyle="1" w:styleId="xl104">
    <w:name w:val="xl104"/>
    <w:basedOn w:val="Normal"/>
    <w:pPr>
      <w:pBdr>
        <w:bottom w:val="single" w:sz="4" w:space="0" w:color="auto"/>
      </w:pBdr>
      <w:shd w:val="clear" w:color="000000" w:fill="101010"/>
      <w:spacing w:before="100" w:beforeAutospacing="1" w:after="100" w:afterAutospacing="1" w:line="240" w:lineRule="auto"/>
      <w:jc w:val="left"/>
    </w:pPr>
    <w:rPr>
      <w:rFonts w:ascii="Times New Roman" w:eastAsia="Times New Roman" w:hAnsi="Times New Roman" w:cs="Times New Roman"/>
      <w:sz w:val="16"/>
      <w:szCs w:val="16"/>
    </w:rPr>
  </w:style>
  <w:style w:type="paragraph" w:customStyle="1" w:styleId="xl105">
    <w:name w:val="xl105"/>
    <w:basedOn w:val="Normal"/>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16"/>
      <w:szCs w:val="16"/>
    </w:rPr>
  </w:style>
  <w:style w:type="paragraph" w:customStyle="1" w:styleId="xl106">
    <w:name w:val="xl106"/>
    <w:basedOn w:val="Normal"/>
    <w:pPr>
      <w:pBdr>
        <w:left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sz w:val="16"/>
      <w:szCs w:val="16"/>
    </w:rPr>
  </w:style>
  <w:style w:type="paragraph" w:customStyle="1" w:styleId="xl107">
    <w:name w:val="xl107"/>
    <w:basedOn w:val="Normal"/>
    <w:pPr>
      <w:pBdr>
        <w:bottom w:val="single" w:sz="4" w:space="0" w:color="auto"/>
      </w:pBdr>
      <w:spacing w:before="100" w:beforeAutospacing="1" w:after="100" w:afterAutospacing="1" w:line="240" w:lineRule="auto"/>
      <w:jc w:val="left"/>
    </w:pPr>
    <w:rPr>
      <w:rFonts w:ascii="Times New Roman" w:eastAsia="Times New Roman" w:hAnsi="Times New Roman" w:cs="Times New Roman"/>
      <w:b/>
      <w:bCs/>
      <w:i/>
      <w:iCs/>
      <w:sz w:val="18"/>
      <w:szCs w:val="18"/>
    </w:rPr>
  </w:style>
  <w:style w:type="paragraph" w:customStyle="1" w:styleId="xl108">
    <w:name w:val="xl108"/>
    <w:basedOn w:val="Normal"/>
    <w:pPr>
      <w:pBdr>
        <w:bottom w:val="single" w:sz="4" w:space="0" w:color="auto"/>
      </w:pBdr>
      <w:spacing w:before="100" w:beforeAutospacing="1" w:after="100" w:afterAutospacing="1" w:line="240" w:lineRule="auto"/>
      <w:jc w:val="left"/>
    </w:pPr>
    <w:rPr>
      <w:rFonts w:ascii="Times New Roman" w:eastAsia="Times New Roman" w:hAnsi="Times New Roman" w:cs="Times New Roman"/>
      <w:sz w:val="16"/>
      <w:szCs w:val="16"/>
    </w:rPr>
  </w:style>
  <w:style w:type="paragraph" w:customStyle="1" w:styleId="xl109">
    <w:name w:val="xl109"/>
    <w:basedOn w:val="Normal"/>
    <w:pPr>
      <w:pBdr>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16"/>
      <w:szCs w:val="16"/>
    </w:rPr>
  </w:style>
  <w:style w:type="paragraph" w:customStyle="1" w:styleId="xl110">
    <w:name w:val="xl110"/>
    <w:basedOn w:val="Normal"/>
    <w:pPr>
      <w:pBdr>
        <w:left w:val="single" w:sz="4" w:space="0" w:color="auto"/>
        <w:bottom w:val="single" w:sz="4" w:space="0" w:color="auto"/>
      </w:pBdr>
      <w:spacing w:before="100" w:beforeAutospacing="1" w:after="100" w:afterAutospacing="1" w:line="240" w:lineRule="auto"/>
      <w:jc w:val="left"/>
    </w:pPr>
    <w:rPr>
      <w:rFonts w:ascii="Verdana" w:eastAsia="Times New Roman" w:hAnsi="Verdana" w:cs="Times New Roman"/>
      <w:sz w:val="16"/>
      <w:szCs w:val="16"/>
    </w:rPr>
  </w:style>
  <w:style w:type="paragraph" w:customStyle="1" w:styleId="xl111">
    <w:name w:val="xl111"/>
    <w:basedOn w:val="Normal"/>
    <w:pPr>
      <w:pBdr>
        <w:bottom w:val="single" w:sz="4" w:space="0" w:color="auto"/>
      </w:pBdr>
      <w:spacing w:before="100" w:beforeAutospacing="1" w:after="100" w:afterAutospacing="1" w:line="240" w:lineRule="auto"/>
      <w:jc w:val="left"/>
    </w:pPr>
    <w:rPr>
      <w:rFonts w:ascii="Verdana" w:eastAsia="Times New Roman" w:hAnsi="Verdana" w:cs="Times New Roman"/>
      <w:sz w:val="16"/>
      <w:szCs w:val="16"/>
    </w:rPr>
  </w:style>
  <w:style w:type="paragraph" w:customStyle="1" w:styleId="xl112">
    <w:name w:val="xl112"/>
    <w:basedOn w:val="Normal"/>
    <w:pPr>
      <w:pBdr>
        <w:bottom w:val="single" w:sz="4" w:space="0" w:color="auto"/>
        <w:right w:val="single" w:sz="4" w:space="0" w:color="auto"/>
      </w:pBdr>
      <w:spacing w:before="100" w:beforeAutospacing="1" w:after="100" w:afterAutospacing="1" w:line="240" w:lineRule="auto"/>
      <w:jc w:val="left"/>
    </w:pPr>
    <w:rPr>
      <w:rFonts w:ascii="Verdana" w:eastAsia="Times New Roman" w:hAnsi="Verdana" w:cs="Times New Roman"/>
      <w:sz w:val="16"/>
      <w:szCs w:val="16"/>
    </w:rPr>
  </w:style>
  <w:style w:type="paragraph" w:customStyle="1" w:styleId="xl113">
    <w:name w:val="xl113"/>
    <w:basedOn w:val="Normal"/>
    <w:pPr>
      <w:pBdr>
        <w:right w:val="single" w:sz="4" w:space="0" w:color="auto"/>
      </w:pBdr>
      <w:spacing w:before="100" w:beforeAutospacing="1" w:after="100" w:afterAutospacing="1" w:line="240" w:lineRule="auto"/>
      <w:jc w:val="left"/>
    </w:pPr>
    <w:rPr>
      <w:rFonts w:ascii="Verdana" w:eastAsia="Times New Roman" w:hAnsi="Verdana" w:cs="Times New Roman"/>
      <w:sz w:val="16"/>
      <w:szCs w:val="16"/>
    </w:rPr>
  </w:style>
  <w:style w:type="paragraph" w:customStyle="1" w:styleId="xl114">
    <w:name w:val="xl114"/>
    <w:basedOn w:val="Normal"/>
    <w:pPr>
      <w:spacing w:before="100" w:beforeAutospacing="1" w:after="100" w:afterAutospacing="1" w:line="240" w:lineRule="auto"/>
      <w:jc w:val="left"/>
    </w:pPr>
    <w:rPr>
      <w:rFonts w:ascii="Times New Roman" w:eastAsia="Times New Roman" w:hAnsi="Times New Roman" w:cs="Times New Roman"/>
      <w:b/>
      <w:bCs/>
      <w:color w:val="FFFFFF"/>
      <w:sz w:val="14"/>
      <w:szCs w:val="14"/>
    </w:rPr>
  </w:style>
  <w:style w:type="paragraph" w:customStyle="1" w:styleId="xl115">
    <w:name w:val="xl115"/>
    <w:basedOn w:val="Normal"/>
    <w:pPr>
      <w:spacing w:before="100" w:beforeAutospacing="1" w:after="100" w:afterAutospacing="1" w:line="240" w:lineRule="auto"/>
      <w:jc w:val="center"/>
    </w:pPr>
    <w:rPr>
      <w:rFonts w:ascii="Times New Roman" w:eastAsia="Times New Roman" w:hAnsi="Times New Roman" w:cs="Times New Roman"/>
      <w:color w:val="FFFFFF"/>
      <w:sz w:val="16"/>
      <w:szCs w:val="16"/>
    </w:rPr>
  </w:style>
  <w:style w:type="paragraph" w:customStyle="1" w:styleId="xl116">
    <w:name w:val="xl116"/>
    <w:basedOn w:val="Normal"/>
    <w:pPr>
      <w:spacing w:before="100" w:beforeAutospacing="1" w:after="100" w:afterAutospacing="1" w:line="240" w:lineRule="auto"/>
      <w:jc w:val="center"/>
    </w:pPr>
    <w:rPr>
      <w:rFonts w:ascii="Times New Roman" w:eastAsia="Times New Roman" w:hAnsi="Times New Roman" w:cs="Times New Roman"/>
      <w:color w:val="FFFFFF"/>
      <w:sz w:val="16"/>
      <w:szCs w:val="16"/>
    </w:rPr>
  </w:style>
  <w:style w:type="paragraph" w:customStyle="1" w:styleId="xl117">
    <w:name w:val="xl117"/>
    <w:basedOn w:val="Normal"/>
    <w:pPr>
      <w:pBdr>
        <w:top w:val="single" w:sz="4" w:space="0" w:color="auto"/>
        <w:left w:val="single" w:sz="4" w:space="0" w:color="auto"/>
      </w:pBdr>
      <w:shd w:val="clear" w:color="000000" w:fill="525252"/>
      <w:spacing w:before="100" w:beforeAutospacing="1" w:after="100" w:afterAutospacing="1" w:line="240" w:lineRule="auto"/>
      <w:jc w:val="left"/>
    </w:pPr>
    <w:rPr>
      <w:rFonts w:ascii="Times New Roman" w:eastAsia="Times New Roman" w:hAnsi="Times New Roman" w:cs="Times New Roman"/>
      <w:b/>
      <w:bCs/>
      <w:color w:val="FFFFFF"/>
      <w:sz w:val="14"/>
      <w:szCs w:val="14"/>
    </w:rPr>
  </w:style>
  <w:style w:type="paragraph" w:customStyle="1" w:styleId="xl118">
    <w:name w:val="xl118"/>
    <w:basedOn w:val="Normal"/>
    <w:pPr>
      <w:pBdr>
        <w:left w:val="single" w:sz="4" w:space="0" w:color="auto"/>
        <w:bottom w:val="single" w:sz="4" w:space="0" w:color="auto"/>
      </w:pBdr>
      <w:shd w:val="clear" w:color="000000" w:fill="525252"/>
      <w:spacing w:before="100" w:beforeAutospacing="1" w:after="100" w:afterAutospacing="1" w:line="240" w:lineRule="auto"/>
      <w:jc w:val="left"/>
    </w:pPr>
    <w:rPr>
      <w:rFonts w:ascii="Times New Roman" w:eastAsia="Times New Roman" w:hAnsi="Times New Roman" w:cs="Times New Roman"/>
      <w:b/>
      <w:bCs/>
      <w:color w:val="FFFFFF"/>
      <w:sz w:val="14"/>
      <w:szCs w:val="14"/>
    </w:rPr>
  </w:style>
  <w:style w:type="paragraph" w:customStyle="1" w:styleId="xl119">
    <w:name w:val="xl119"/>
    <w:basedOn w:val="Normal"/>
    <w:pPr>
      <w:pBdr>
        <w:top w:val="single" w:sz="4" w:space="0" w:color="auto"/>
        <w:right w:val="single" w:sz="4" w:space="0" w:color="auto"/>
      </w:pBdr>
      <w:shd w:val="clear" w:color="000000" w:fill="525252"/>
      <w:spacing w:before="100" w:beforeAutospacing="1" w:after="100" w:afterAutospacing="1" w:line="240" w:lineRule="auto"/>
      <w:jc w:val="center"/>
    </w:pPr>
    <w:rPr>
      <w:rFonts w:ascii="Times New Roman" w:eastAsia="Times New Roman" w:hAnsi="Times New Roman" w:cs="Times New Roman"/>
      <w:b/>
      <w:bCs/>
      <w:color w:val="FFFFFF"/>
      <w:sz w:val="24"/>
      <w:szCs w:val="24"/>
    </w:rPr>
  </w:style>
  <w:style w:type="paragraph" w:customStyle="1" w:styleId="xl120">
    <w:name w:val="xl120"/>
    <w:basedOn w:val="Normal"/>
    <w:pPr>
      <w:pBdr>
        <w:bottom w:val="single" w:sz="4" w:space="0" w:color="auto"/>
        <w:right w:val="single" w:sz="4" w:space="0" w:color="auto"/>
      </w:pBdr>
      <w:shd w:val="clear" w:color="000000" w:fill="525252"/>
      <w:spacing w:before="100" w:beforeAutospacing="1" w:after="100" w:afterAutospacing="1" w:line="240" w:lineRule="auto"/>
      <w:jc w:val="center"/>
    </w:pPr>
    <w:rPr>
      <w:rFonts w:ascii="Times New Roman" w:eastAsia="Times New Roman" w:hAnsi="Times New Roman" w:cs="Times New Roman"/>
      <w:b/>
      <w:bCs/>
      <w:color w:val="FFFFFF"/>
      <w:sz w:val="24"/>
      <w:szCs w:val="24"/>
    </w:rPr>
  </w:style>
  <w:style w:type="paragraph" w:customStyle="1" w:styleId="xl121">
    <w:name w:val="xl121"/>
    <w:basedOn w:val="Normal"/>
    <w:pPr>
      <w:spacing w:before="100" w:beforeAutospacing="1" w:after="100" w:afterAutospacing="1" w:line="240" w:lineRule="auto"/>
      <w:jc w:val="center"/>
    </w:pPr>
    <w:rPr>
      <w:rFonts w:ascii="Times New Roman" w:eastAsia="Times New Roman" w:hAnsi="Times New Roman" w:cs="Times New Roman"/>
      <w:b/>
      <w:bCs/>
      <w:color w:val="FFFFFF"/>
      <w:sz w:val="16"/>
      <w:szCs w:val="16"/>
    </w:rPr>
  </w:style>
  <w:style w:type="paragraph" w:customStyle="1" w:styleId="xl122">
    <w:name w:val="xl122"/>
    <w:basedOn w:val="Normal"/>
    <w:pPr>
      <w:spacing w:before="100" w:beforeAutospacing="1" w:after="100" w:afterAutospacing="1" w:line="240" w:lineRule="auto"/>
      <w:jc w:val="center"/>
    </w:pPr>
    <w:rPr>
      <w:rFonts w:ascii="Times New Roman" w:eastAsia="Times New Roman" w:hAnsi="Times New Roman" w:cs="Times New Roman"/>
      <w:b/>
      <w:bCs/>
      <w:color w:val="FFFFFF"/>
      <w:sz w:val="16"/>
      <w:szCs w:val="16"/>
    </w:rPr>
  </w:style>
  <w:style w:type="paragraph" w:customStyle="1" w:styleId="xl123">
    <w:name w:val="xl123"/>
    <w:basedOn w:val="Normal"/>
    <w:pPr>
      <w:pBdr>
        <w:top w:val="single" w:sz="4" w:space="0" w:color="auto"/>
        <w:left w:val="single" w:sz="4" w:space="0" w:color="auto"/>
      </w:pBdr>
      <w:shd w:val="clear" w:color="000000" w:fill="101010"/>
      <w:spacing w:before="100" w:beforeAutospacing="1" w:after="100" w:afterAutospacing="1" w:line="240" w:lineRule="auto"/>
      <w:jc w:val="left"/>
    </w:pPr>
    <w:rPr>
      <w:rFonts w:ascii="Times New Roman" w:eastAsia="Times New Roman" w:hAnsi="Times New Roman" w:cs="Times New Roman"/>
      <w:b/>
      <w:bCs/>
      <w:color w:val="FFFFFF"/>
      <w:sz w:val="14"/>
      <w:szCs w:val="14"/>
    </w:rPr>
  </w:style>
  <w:style w:type="paragraph" w:customStyle="1" w:styleId="xl124">
    <w:name w:val="xl124"/>
    <w:basedOn w:val="Normal"/>
    <w:pPr>
      <w:pBdr>
        <w:left w:val="single" w:sz="4" w:space="0" w:color="auto"/>
        <w:bottom w:val="single" w:sz="4" w:space="0" w:color="auto"/>
      </w:pBdr>
      <w:shd w:val="clear" w:color="000000" w:fill="101010"/>
      <w:spacing w:before="100" w:beforeAutospacing="1" w:after="100" w:afterAutospacing="1" w:line="240" w:lineRule="auto"/>
      <w:jc w:val="left"/>
    </w:pPr>
    <w:rPr>
      <w:rFonts w:ascii="Times New Roman" w:eastAsia="Times New Roman" w:hAnsi="Times New Roman" w:cs="Times New Roman"/>
      <w:b/>
      <w:bCs/>
      <w:color w:val="FFFFFF"/>
      <w:sz w:val="14"/>
      <w:szCs w:val="14"/>
    </w:rPr>
  </w:style>
  <w:style w:type="paragraph" w:customStyle="1" w:styleId="xl125">
    <w:name w:val="xl125"/>
    <w:basedOn w:val="Normal"/>
    <w:pPr>
      <w:pBdr>
        <w:top w:val="single" w:sz="4" w:space="0" w:color="auto"/>
        <w:right w:val="single" w:sz="4" w:space="0" w:color="auto"/>
      </w:pBdr>
      <w:shd w:val="clear" w:color="000000" w:fill="101010"/>
      <w:spacing w:before="100" w:beforeAutospacing="1" w:after="100" w:afterAutospacing="1" w:line="240" w:lineRule="auto"/>
      <w:jc w:val="center"/>
    </w:pPr>
    <w:rPr>
      <w:rFonts w:ascii="Times New Roman" w:eastAsia="Times New Roman" w:hAnsi="Times New Roman" w:cs="Times New Roman"/>
      <w:b/>
      <w:bCs/>
      <w:color w:val="FFFFFF"/>
      <w:sz w:val="24"/>
      <w:szCs w:val="24"/>
    </w:rPr>
  </w:style>
  <w:style w:type="paragraph" w:customStyle="1" w:styleId="xl126">
    <w:name w:val="xl126"/>
    <w:basedOn w:val="Normal"/>
    <w:pPr>
      <w:pBdr>
        <w:bottom w:val="single" w:sz="4" w:space="0" w:color="auto"/>
        <w:right w:val="single" w:sz="4" w:space="0" w:color="auto"/>
      </w:pBdr>
      <w:shd w:val="clear" w:color="000000" w:fill="101010"/>
      <w:spacing w:before="100" w:beforeAutospacing="1" w:after="100" w:afterAutospacing="1" w:line="240" w:lineRule="auto"/>
      <w:jc w:val="center"/>
    </w:pPr>
    <w:rPr>
      <w:rFonts w:ascii="Times New Roman" w:eastAsia="Times New Roman" w:hAnsi="Times New Roman" w:cs="Times New Roman"/>
      <w:b/>
      <w:bCs/>
      <w:color w:val="FFFFFF"/>
      <w:sz w:val="24"/>
      <w:szCs w:val="24"/>
    </w:rPr>
  </w:style>
  <w:style w:type="paragraph" w:customStyle="1" w:styleId="xl127">
    <w:name w:val="xl127"/>
    <w:basedOn w:val="Normal"/>
    <w:pPr>
      <w:spacing w:before="100" w:beforeAutospacing="1" w:after="100" w:afterAutospacing="1" w:line="240" w:lineRule="auto"/>
      <w:jc w:val="left"/>
    </w:pPr>
    <w:rPr>
      <w:rFonts w:ascii="Times New Roman" w:eastAsia="Times New Roman" w:hAnsi="Times New Roman" w:cs="Times New Roman"/>
      <w:b/>
      <w:bCs/>
      <w:sz w:val="14"/>
      <w:szCs w:val="14"/>
    </w:rPr>
  </w:style>
  <w:style w:type="paragraph" w:customStyle="1" w:styleId="xl128">
    <w:name w:val="xl128"/>
    <w:basedOn w:val="Normal"/>
    <w:pPr>
      <w:spacing w:before="100" w:beforeAutospacing="1" w:after="100" w:afterAutospacing="1" w:line="240" w:lineRule="auto"/>
      <w:jc w:val="left"/>
    </w:pPr>
    <w:rPr>
      <w:rFonts w:ascii="Times New Roman" w:eastAsia="Times New Roman" w:hAnsi="Times New Roman" w:cs="Times New Roman"/>
      <w:b/>
      <w:bCs/>
      <w:sz w:val="16"/>
      <w:szCs w:val="16"/>
    </w:rPr>
  </w:style>
  <w:style w:type="paragraph" w:customStyle="1" w:styleId="xl129">
    <w:name w:val="xl129"/>
    <w:basedOn w:val="Normal"/>
    <w:pPr>
      <w:pBdr>
        <w:top w:val="single" w:sz="4" w:space="0" w:color="auto"/>
        <w:left w:val="single" w:sz="4" w:space="0" w:color="auto"/>
      </w:pBdr>
      <w:shd w:val="clear" w:color="000000" w:fill="AD4DF7"/>
      <w:spacing w:before="100" w:beforeAutospacing="1" w:after="100" w:afterAutospacing="1" w:line="240" w:lineRule="auto"/>
      <w:jc w:val="left"/>
    </w:pPr>
    <w:rPr>
      <w:rFonts w:ascii="Times New Roman" w:eastAsia="Times New Roman" w:hAnsi="Times New Roman" w:cs="Times New Roman"/>
      <w:b/>
      <w:bCs/>
      <w:sz w:val="14"/>
      <w:szCs w:val="14"/>
    </w:rPr>
  </w:style>
  <w:style w:type="paragraph" w:customStyle="1" w:styleId="xl130">
    <w:name w:val="xl130"/>
    <w:basedOn w:val="Normal"/>
    <w:pPr>
      <w:pBdr>
        <w:left w:val="single" w:sz="4" w:space="0" w:color="auto"/>
        <w:bottom w:val="single" w:sz="4" w:space="0" w:color="auto"/>
      </w:pBdr>
      <w:shd w:val="clear" w:color="000000" w:fill="AD4DF7"/>
      <w:spacing w:before="100" w:beforeAutospacing="1" w:after="100" w:afterAutospacing="1" w:line="240" w:lineRule="auto"/>
      <w:jc w:val="left"/>
    </w:pPr>
    <w:rPr>
      <w:rFonts w:ascii="Times New Roman" w:eastAsia="Times New Roman" w:hAnsi="Times New Roman" w:cs="Times New Roman"/>
      <w:b/>
      <w:bCs/>
      <w:sz w:val="14"/>
      <w:szCs w:val="14"/>
    </w:rPr>
  </w:style>
  <w:style w:type="paragraph" w:customStyle="1" w:styleId="xl131">
    <w:name w:val="xl131"/>
    <w:basedOn w:val="Normal"/>
    <w:pPr>
      <w:pBdr>
        <w:top w:val="single" w:sz="4" w:space="0" w:color="auto"/>
        <w:right w:val="single" w:sz="4" w:space="0" w:color="auto"/>
      </w:pBdr>
      <w:shd w:val="clear" w:color="000000" w:fill="AD4DF7"/>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2">
    <w:name w:val="xl132"/>
    <w:basedOn w:val="Normal"/>
    <w:pPr>
      <w:pBdr>
        <w:bottom w:val="single" w:sz="4" w:space="0" w:color="auto"/>
        <w:right w:val="single" w:sz="4" w:space="0" w:color="auto"/>
      </w:pBdr>
      <w:shd w:val="clear" w:color="000000" w:fill="AD4DF7"/>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3">
    <w:name w:val="xl133"/>
    <w:basedOn w:val="Normal"/>
    <w:pPr>
      <w:pBdr>
        <w:top w:val="single" w:sz="4" w:space="0" w:color="auto"/>
        <w:left w:val="single" w:sz="4" w:space="0" w:color="auto"/>
      </w:pBdr>
      <w:shd w:val="clear" w:color="000000" w:fill="8C18E7"/>
      <w:spacing w:before="100" w:beforeAutospacing="1" w:after="100" w:afterAutospacing="1" w:line="240" w:lineRule="auto"/>
      <w:jc w:val="left"/>
    </w:pPr>
    <w:rPr>
      <w:rFonts w:ascii="Times New Roman" w:eastAsia="Times New Roman" w:hAnsi="Times New Roman" w:cs="Times New Roman"/>
      <w:b/>
      <w:bCs/>
      <w:color w:val="FFFFFF"/>
      <w:sz w:val="14"/>
      <w:szCs w:val="14"/>
    </w:rPr>
  </w:style>
  <w:style w:type="paragraph" w:customStyle="1" w:styleId="xl134">
    <w:name w:val="xl134"/>
    <w:basedOn w:val="Normal"/>
    <w:pPr>
      <w:pBdr>
        <w:left w:val="single" w:sz="4" w:space="0" w:color="auto"/>
        <w:bottom w:val="single" w:sz="4" w:space="0" w:color="auto"/>
      </w:pBdr>
      <w:shd w:val="clear" w:color="000000" w:fill="8C18E7"/>
      <w:spacing w:before="100" w:beforeAutospacing="1" w:after="100" w:afterAutospacing="1" w:line="240" w:lineRule="auto"/>
      <w:jc w:val="left"/>
    </w:pPr>
    <w:rPr>
      <w:rFonts w:ascii="Times New Roman" w:eastAsia="Times New Roman" w:hAnsi="Times New Roman" w:cs="Times New Roman"/>
      <w:b/>
      <w:bCs/>
      <w:color w:val="FFFFFF"/>
      <w:sz w:val="14"/>
      <w:szCs w:val="14"/>
    </w:rPr>
  </w:style>
  <w:style w:type="paragraph" w:customStyle="1" w:styleId="xl135">
    <w:name w:val="xl135"/>
    <w:basedOn w:val="Normal"/>
    <w:pPr>
      <w:pBdr>
        <w:top w:val="single" w:sz="4" w:space="0" w:color="auto"/>
        <w:right w:val="single" w:sz="4" w:space="0" w:color="auto"/>
      </w:pBdr>
      <w:shd w:val="clear" w:color="000000" w:fill="8C18E7"/>
      <w:spacing w:before="100" w:beforeAutospacing="1" w:after="100" w:afterAutospacing="1" w:line="240" w:lineRule="auto"/>
      <w:jc w:val="center"/>
    </w:pPr>
    <w:rPr>
      <w:rFonts w:ascii="Times New Roman" w:eastAsia="Times New Roman" w:hAnsi="Times New Roman" w:cs="Times New Roman"/>
      <w:b/>
      <w:bCs/>
      <w:color w:val="FFFFFF"/>
      <w:sz w:val="24"/>
      <w:szCs w:val="24"/>
    </w:rPr>
  </w:style>
  <w:style w:type="paragraph" w:customStyle="1" w:styleId="xl136">
    <w:name w:val="xl136"/>
    <w:basedOn w:val="Normal"/>
    <w:pPr>
      <w:pBdr>
        <w:bottom w:val="single" w:sz="4" w:space="0" w:color="auto"/>
        <w:right w:val="single" w:sz="4" w:space="0" w:color="auto"/>
      </w:pBdr>
      <w:shd w:val="clear" w:color="000000" w:fill="8C18E7"/>
      <w:spacing w:before="100" w:beforeAutospacing="1" w:after="100" w:afterAutospacing="1" w:line="240" w:lineRule="auto"/>
      <w:jc w:val="center"/>
    </w:pPr>
    <w:rPr>
      <w:rFonts w:ascii="Times New Roman" w:eastAsia="Times New Roman" w:hAnsi="Times New Roman" w:cs="Times New Roman"/>
      <w:b/>
      <w:bCs/>
      <w:color w:val="FFFFFF"/>
      <w:sz w:val="24"/>
      <w:szCs w:val="24"/>
    </w:rPr>
  </w:style>
  <w:style w:type="paragraph" w:customStyle="1" w:styleId="xl137">
    <w:name w:val="xl137"/>
    <w:basedOn w:val="Normal"/>
    <w:pPr>
      <w:pBdr>
        <w:top w:val="single" w:sz="4" w:space="0" w:color="auto"/>
        <w:left w:val="single" w:sz="4" w:space="0" w:color="auto"/>
      </w:pBdr>
      <w:shd w:val="clear" w:color="000000" w:fill="D696FF"/>
      <w:spacing w:before="100" w:beforeAutospacing="1" w:after="100" w:afterAutospacing="1" w:line="240" w:lineRule="auto"/>
      <w:jc w:val="left"/>
    </w:pPr>
    <w:rPr>
      <w:rFonts w:ascii="Times New Roman" w:eastAsia="Times New Roman" w:hAnsi="Times New Roman" w:cs="Times New Roman"/>
      <w:b/>
      <w:bCs/>
      <w:sz w:val="14"/>
      <w:szCs w:val="14"/>
    </w:rPr>
  </w:style>
  <w:style w:type="paragraph" w:customStyle="1" w:styleId="xl138">
    <w:name w:val="xl138"/>
    <w:basedOn w:val="Normal"/>
    <w:pPr>
      <w:pBdr>
        <w:left w:val="single" w:sz="4" w:space="0" w:color="auto"/>
        <w:bottom w:val="single" w:sz="4" w:space="0" w:color="auto"/>
      </w:pBdr>
      <w:shd w:val="clear" w:color="000000" w:fill="D696FF"/>
      <w:spacing w:before="100" w:beforeAutospacing="1" w:after="100" w:afterAutospacing="1" w:line="240" w:lineRule="auto"/>
      <w:jc w:val="left"/>
    </w:pPr>
    <w:rPr>
      <w:rFonts w:ascii="Times New Roman" w:eastAsia="Times New Roman" w:hAnsi="Times New Roman" w:cs="Times New Roman"/>
      <w:b/>
      <w:bCs/>
      <w:sz w:val="14"/>
      <w:szCs w:val="14"/>
    </w:rPr>
  </w:style>
  <w:style w:type="paragraph" w:customStyle="1" w:styleId="xl139">
    <w:name w:val="xl139"/>
    <w:basedOn w:val="Normal"/>
    <w:pPr>
      <w:pBdr>
        <w:top w:val="single" w:sz="4" w:space="0" w:color="auto"/>
        <w:right w:val="single" w:sz="4" w:space="0" w:color="auto"/>
      </w:pBdr>
      <w:shd w:val="clear" w:color="000000" w:fill="D696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0">
    <w:name w:val="xl140"/>
    <w:basedOn w:val="Normal"/>
    <w:pPr>
      <w:pBdr>
        <w:bottom w:val="single" w:sz="4" w:space="0" w:color="auto"/>
        <w:right w:val="single" w:sz="4" w:space="0" w:color="auto"/>
      </w:pBdr>
      <w:shd w:val="clear" w:color="000000" w:fill="D696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1">
    <w:name w:val="xl141"/>
    <w:basedOn w:val="Normal"/>
    <w:pPr>
      <w:spacing w:before="100" w:beforeAutospacing="1" w:after="100" w:afterAutospacing="1" w:line="240" w:lineRule="auto"/>
      <w:jc w:val="left"/>
    </w:pPr>
    <w:rPr>
      <w:rFonts w:ascii="Times New Roman" w:eastAsia="Times New Roman" w:hAnsi="Times New Roman" w:cs="Times New Roman"/>
      <w:sz w:val="14"/>
      <w:szCs w:val="14"/>
    </w:rPr>
  </w:style>
  <w:style w:type="paragraph" w:customStyle="1" w:styleId="xl142">
    <w:name w:val="xl142"/>
    <w:basedOn w:val="Normal"/>
    <w:pPr>
      <w:pBdr>
        <w:top w:val="single" w:sz="4" w:space="0" w:color="auto"/>
        <w:left w:val="single" w:sz="4" w:space="0" w:color="auto"/>
      </w:pBdr>
      <w:shd w:val="clear" w:color="000000" w:fill="BD75F7"/>
      <w:spacing w:before="100" w:beforeAutospacing="1" w:after="100" w:afterAutospacing="1" w:line="240" w:lineRule="auto"/>
      <w:jc w:val="left"/>
    </w:pPr>
    <w:rPr>
      <w:rFonts w:ascii="Times New Roman" w:eastAsia="Times New Roman" w:hAnsi="Times New Roman" w:cs="Times New Roman"/>
      <w:b/>
      <w:bCs/>
      <w:sz w:val="14"/>
      <w:szCs w:val="14"/>
    </w:rPr>
  </w:style>
  <w:style w:type="paragraph" w:customStyle="1" w:styleId="xl143">
    <w:name w:val="xl143"/>
    <w:basedOn w:val="Normal"/>
    <w:pPr>
      <w:pBdr>
        <w:left w:val="single" w:sz="4" w:space="0" w:color="auto"/>
        <w:bottom w:val="single" w:sz="4" w:space="0" w:color="auto"/>
      </w:pBdr>
      <w:shd w:val="clear" w:color="000000" w:fill="BD75F7"/>
      <w:spacing w:before="100" w:beforeAutospacing="1" w:after="100" w:afterAutospacing="1" w:line="240" w:lineRule="auto"/>
      <w:jc w:val="left"/>
    </w:pPr>
    <w:rPr>
      <w:rFonts w:ascii="Times New Roman" w:eastAsia="Times New Roman" w:hAnsi="Times New Roman" w:cs="Times New Roman"/>
      <w:b/>
      <w:bCs/>
      <w:sz w:val="14"/>
      <w:szCs w:val="14"/>
    </w:rPr>
  </w:style>
  <w:style w:type="paragraph" w:customStyle="1" w:styleId="xl144">
    <w:name w:val="xl144"/>
    <w:basedOn w:val="Normal"/>
    <w:pPr>
      <w:pBdr>
        <w:top w:val="single" w:sz="4" w:space="0" w:color="auto"/>
        <w:right w:val="single" w:sz="4" w:space="0" w:color="auto"/>
      </w:pBdr>
      <w:shd w:val="clear" w:color="000000" w:fill="BD75F7"/>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5">
    <w:name w:val="xl145"/>
    <w:basedOn w:val="Normal"/>
    <w:pPr>
      <w:pBdr>
        <w:bottom w:val="single" w:sz="4" w:space="0" w:color="auto"/>
        <w:right w:val="single" w:sz="4" w:space="0" w:color="auto"/>
      </w:pBdr>
      <w:shd w:val="clear" w:color="000000" w:fill="BD75F7"/>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6">
    <w:name w:val="xl146"/>
    <w:basedOn w:val="Normal"/>
    <w:pPr>
      <w:spacing w:before="100" w:beforeAutospacing="1" w:after="100" w:afterAutospacing="1" w:line="240" w:lineRule="auto"/>
      <w:jc w:val="center"/>
    </w:pPr>
    <w:rPr>
      <w:rFonts w:ascii="Times New Roman" w:eastAsia="Times New Roman" w:hAnsi="Times New Roman" w:cs="Times New Roman"/>
      <w:b/>
      <w:bCs/>
      <w:sz w:val="14"/>
      <w:szCs w:val="14"/>
    </w:rPr>
  </w:style>
  <w:style w:type="paragraph" w:customStyle="1" w:styleId="xl147">
    <w:name w:val="xl147"/>
    <w:basedOn w:val="Normal"/>
    <w:pPr>
      <w:pBdr>
        <w:top w:val="single" w:sz="4" w:space="0" w:color="auto"/>
        <w:left w:val="single" w:sz="4" w:space="0" w:color="auto"/>
      </w:pBdr>
      <w:shd w:val="clear" w:color="000000" w:fill="E7C3FF"/>
      <w:spacing w:before="100" w:beforeAutospacing="1" w:after="100" w:afterAutospacing="1" w:line="240" w:lineRule="auto"/>
      <w:jc w:val="left"/>
    </w:pPr>
    <w:rPr>
      <w:rFonts w:ascii="Times New Roman" w:eastAsia="Times New Roman" w:hAnsi="Times New Roman" w:cs="Times New Roman"/>
      <w:b/>
      <w:bCs/>
      <w:sz w:val="14"/>
      <w:szCs w:val="14"/>
    </w:rPr>
  </w:style>
  <w:style w:type="paragraph" w:customStyle="1" w:styleId="xl148">
    <w:name w:val="xl148"/>
    <w:basedOn w:val="Normal"/>
    <w:pPr>
      <w:pBdr>
        <w:top w:val="single" w:sz="4" w:space="0" w:color="auto"/>
      </w:pBdr>
      <w:shd w:val="clear" w:color="000000" w:fill="E7C3FF"/>
      <w:spacing w:before="100" w:beforeAutospacing="1" w:after="100" w:afterAutospacing="1" w:line="240" w:lineRule="auto"/>
      <w:jc w:val="left"/>
    </w:pPr>
    <w:rPr>
      <w:rFonts w:ascii="Times New Roman" w:eastAsia="Times New Roman" w:hAnsi="Times New Roman" w:cs="Times New Roman"/>
      <w:b/>
      <w:bCs/>
      <w:sz w:val="14"/>
      <w:szCs w:val="14"/>
    </w:rPr>
  </w:style>
  <w:style w:type="paragraph" w:customStyle="1" w:styleId="xl149">
    <w:name w:val="xl149"/>
    <w:basedOn w:val="Normal"/>
    <w:pPr>
      <w:pBdr>
        <w:left w:val="single" w:sz="4" w:space="0" w:color="auto"/>
        <w:bottom w:val="single" w:sz="4" w:space="0" w:color="auto"/>
      </w:pBdr>
      <w:shd w:val="clear" w:color="000000" w:fill="E7C3FF"/>
      <w:spacing w:before="100" w:beforeAutospacing="1" w:after="100" w:afterAutospacing="1" w:line="240" w:lineRule="auto"/>
      <w:jc w:val="left"/>
    </w:pPr>
    <w:rPr>
      <w:rFonts w:ascii="Times New Roman" w:eastAsia="Times New Roman" w:hAnsi="Times New Roman" w:cs="Times New Roman"/>
      <w:b/>
      <w:bCs/>
      <w:sz w:val="14"/>
      <w:szCs w:val="14"/>
    </w:rPr>
  </w:style>
  <w:style w:type="paragraph" w:customStyle="1" w:styleId="xl150">
    <w:name w:val="xl150"/>
    <w:basedOn w:val="Normal"/>
    <w:pPr>
      <w:pBdr>
        <w:bottom w:val="single" w:sz="4" w:space="0" w:color="auto"/>
      </w:pBdr>
      <w:shd w:val="clear" w:color="000000" w:fill="E7C3FF"/>
      <w:spacing w:before="100" w:beforeAutospacing="1" w:after="100" w:afterAutospacing="1" w:line="240" w:lineRule="auto"/>
      <w:jc w:val="left"/>
    </w:pPr>
    <w:rPr>
      <w:rFonts w:ascii="Times New Roman" w:eastAsia="Times New Roman" w:hAnsi="Times New Roman" w:cs="Times New Roman"/>
      <w:b/>
      <w:bCs/>
      <w:sz w:val="14"/>
      <w:szCs w:val="14"/>
    </w:rPr>
  </w:style>
  <w:style w:type="paragraph" w:customStyle="1" w:styleId="xl151">
    <w:name w:val="xl151"/>
    <w:basedOn w:val="Normal"/>
    <w:pPr>
      <w:pBdr>
        <w:top w:val="single" w:sz="4" w:space="0" w:color="auto"/>
      </w:pBdr>
      <w:shd w:val="clear" w:color="000000" w:fill="E7C3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52">
    <w:name w:val="xl152"/>
    <w:basedOn w:val="Normal"/>
    <w:pPr>
      <w:pBdr>
        <w:top w:val="single" w:sz="4" w:space="0" w:color="auto"/>
        <w:right w:val="single" w:sz="4" w:space="0" w:color="auto"/>
      </w:pBdr>
      <w:shd w:val="clear" w:color="000000" w:fill="E7C3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53">
    <w:name w:val="xl153"/>
    <w:basedOn w:val="Normal"/>
    <w:pPr>
      <w:pBdr>
        <w:bottom w:val="single" w:sz="4" w:space="0" w:color="auto"/>
      </w:pBdr>
      <w:shd w:val="clear" w:color="000000" w:fill="E7C3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54">
    <w:name w:val="xl154"/>
    <w:basedOn w:val="Normal"/>
    <w:pPr>
      <w:pBdr>
        <w:bottom w:val="single" w:sz="4" w:space="0" w:color="auto"/>
        <w:right w:val="single" w:sz="4" w:space="0" w:color="auto"/>
      </w:pBdr>
      <w:shd w:val="clear" w:color="000000" w:fill="E7C3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55">
    <w:name w:val="xl155"/>
    <w:basedOn w:val="Normal"/>
    <w:pPr>
      <w:pBdr>
        <w:top w:val="single" w:sz="4" w:space="0" w:color="auto"/>
        <w:left w:val="single" w:sz="4" w:space="0" w:color="auto"/>
      </w:pBdr>
      <w:shd w:val="clear" w:color="000000" w:fill="DEAAFF"/>
      <w:spacing w:before="100" w:beforeAutospacing="1" w:after="100" w:afterAutospacing="1" w:line="240" w:lineRule="auto"/>
      <w:jc w:val="left"/>
    </w:pPr>
    <w:rPr>
      <w:rFonts w:ascii="Times New Roman" w:eastAsia="Times New Roman" w:hAnsi="Times New Roman" w:cs="Times New Roman"/>
      <w:b/>
      <w:bCs/>
      <w:sz w:val="14"/>
      <w:szCs w:val="14"/>
    </w:rPr>
  </w:style>
  <w:style w:type="paragraph" w:customStyle="1" w:styleId="xl156">
    <w:name w:val="xl156"/>
    <w:basedOn w:val="Normal"/>
    <w:pPr>
      <w:pBdr>
        <w:left w:val="single" w:sz="4" w:space="0" w:color="auto"/>
        <w:bottom w:val="single" w:sz="4" w:space="0" w:color="auto"/>
      </w:pBdr>
      <w:shd w:val="clear" w:color="000000" w:fill="DEAAFF"/>
      <w:spacing w:before="100" w:beforeAutospacing="1" w:after="100" w:afterAutospacing="1" w:line="240" w:lineRule="auto"/>
      <w:jc w:val="left"/>
    </w:pPr>
    <w:rPr>
      <w:rFonts w:ascii="Times New Roman" w:eastAsia="Times New Roman" w:hAnsi="Times New Roman" w:cs="Times New Roman"/>
      <w:b/>
      <w:bCs/>
      <w:sz w:val="14"/>
      <w:szCs w:val="14"/>
    </w:rPr>
  </w:style>
  <w:style w:type="paragraph" w:customStyle="1" w:styleId="xl157">
    <w:name w:val="xl157"/>
    <w:basedOn w:val="Normal"/>
    <w:pPr>
      <w:pBdr>
        <w:top w:val="single" w:sz="4" w:space="0" w:color="auto"/>
        <w:right w:val="single" w:sz="4" w:space="0" w:color="auto"/>
      </w:pBdr>
      <w:shd w:val="clear" w:color="000000" w:fill="DEAA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58">
    <w:name w:val="xl158"/>
    <w:basedOn w:val="Normal"/>
    <w:pPr>
      <w:pBdr>
        <w:bottom w:val="single" w:sz="4" w:space="0" w:color="auto"/>
        <w:right w:val="single" w:sz="4" w:space="0" w:color="auto"/>
      </w:pBdr>
      <w:shd w:val="clear" w:color="000000" w:fill="DEAA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59">
    <w:name w:val="xl159"/>
    <w:basedOn w:val="Normal"/>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160">
    <w:name w:val="xl160"/>
    <w:basedOn w:val="Normal"/>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161">
    <w:name w:val="xl161"/>
    <w:basedOn w:val="Normal"/>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162">
    <w:name w:val="xl162"/>
    <w:basedOn w:val="Normal"/>
    <w:pPr>
      <w:pBdr>
        <w:top w:val="single" w:sz="4" w:space="0" w:color="auto"/>
        <w:left w:val="single" w:sz="4" w:space="0" w:color="auto"/>
      </w:pBdr>
      <w:shd w:val="clear" w:color="000000" w:fill="FFEFFF"/>
      <w:spacing w:before="100" w:beforeAutospacing="1" w:after="100" w:afterAutospacing="1" w:line="240" w:lineRule="auto"/>
      <w:jc w:val="left"/>
    </w:pPr>
    <w:rPr>
      <w:rFonts w:ascii="Times New Roman" w:eastAsia="Times New Roman" w:hAnsi="Times New Roman" w:cs="Times New Roman"/>
      <w:b/>
      <w:bCs/>
      <w:sz w:val="14"/>
      <w:szCs w:val="14"/>
    </w:rPr>
  </w:style>
  <w:style w:type="paragraph" w:customStyle="1" w:styleId="xl163">
    <w:name w:val="xl163"/>
    <w:basedOn w:val="Normal"/>
    <w:pPr>
      <w:pBdr>
        <w:top w:val="single" w:sz="4" w:space="0" w:color="auto"/>
      </w:pBdr>
      <w:shd w:val="clear" w:color="000000" w:fill="FFEFFF"/>
      <w:spacing w:before="100" w:beforeAutospacing="1" w:after="100" w:afterAutospacing="1" w:line="240" w:lineRule="auto"/>
      <w:jc w:val="left"/>
    </w:pPr>
    <w:rPr>
      <w:rFonts w:ascii="Times New Roman" w:eastAsia="Times New Roman" w:hAnsi="Times New Roman" w:cs="Times New Roman"/>
      <w:sz w:val="14"/>
      <w:szCs w:val="14"/>
    </w:rPr>
  </w:style>
  <w:style w:type="paragraph" w:customStyle="1" w:styleId="xl164">
    <w:name w:val="xl164"/>
    <w:basedOn w:val="Normal"/>
    <w:pPr>
      <w:pBdr>
        <w:left w:val="single" w:sz="4" w:space="0" w:color="auto"/>
        <w:bottom w:val="single" w:sz="4" w:space="0" w:color="auto"/>
      </w:pBdr>
      <w:shd w:val="clear" w:color="000000" w:fill="FFEFFF"/>
      <w:spacing w:before="100" w:beforeAutospacing="1" w:after="100" w:afterAutospacing="1" w:line="240" w:lineRule="auto"/>
      <w:jc w:val="left"/>
    </w:pPr>
    <w:rPr>
      <w:rFonts w:ascii="Times New Roman" w:eastAsia="Times New Roman" w:hAnsi="Times New Roman" w:cs="Times New Roman"/>
      <w:sz w:val="14"/>
      <w:szCs w:val="14"/>
    </w:rPr>
  </w:style>
  <w:style w:type="paragraph" w:customStyle="1" w:styleId="xl165">
    <w:name w:val="xl165"/>
    <w:basedOn w:val="Normal"/>
    <w:pPr>
      <w:pBdr>
        <w:bottom w:val="single" w:sz="4" w:space="0" w:color="auto"/>
      </w:pBdr>
      <w:shd w:val="clear" w:color="000000" w:fill="FFEFFF"/>
      <w:spacing w:before="100" w:beforeAutospacing="1" w:after="100" w:afterAutospacing="1" w:line="240" w:lineRule="auto"/>
      <w:jc w:val="left"/>
    </w:pPr>
    <w:rPr>
      <w:rFonts w:ascii="Times New Roman" w:eastAsia="Times New Roman" w:hAnsi="Times New Roman" w:cs="Times New Roman"/>
      <w:sz w:val="14"/>
      <w:szCs w:val="14"/>
    </w:rPr>
  </w:style>
  <w:style w:type="paragraph" w:customStyle="1" w:styleId="xl166">
    <w:name w:val="xl166"/>
    <w:basedOn w:val="Normal"/>
    <w:pPr>
      <w:pBdr>
        <w:top w:val="single" w:sz="4" w:space="0" w:color="auto"/>
        <w:right w:val="single" w:sz="4" w:space="0" w:color="auto"/>
      </w:pBdr>
      <w:shd w:val="clear" w:color="000000" w:fill="FFEF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7">
    <w:name w:val="xl167"/>
    <w:basedOn w:val="Normal"/>
    <w:pPr>
      <w:pBdr>
        <w:bottom w:val="single" w:sz="4" w:space="0" w:color="auto"/>
        <w:right w:val="single" w:sz="4" w:space="0" w:color="auto"/>
      </w:pBdr>
      <w:shd w:val="clear" w:color="000000" w:fill="FFEF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8">
    <w:name w:val="xl168"/>
    <w:basedOn w:val="Normal"/>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69">
    <w:name w:val="xl169"/>
    <w:basedOn w:val="Normal"/>
    <w:pP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70">
    <w:name w:val="xl170"/>
    <w:basedOn w:val="Normal"/>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71">
    <w:name w:val="xl171"/>
    <w:basedOn w:val="Normal"/>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Cs w:val="20"/>
    </w:rPr>
  </w:style>
  <w:style w:type="paragraph" w:customStyle="1" w:styleId="xl172">
    <w:name w:val="xl172"/>
    <w:basedOn w:val="Normal"/>
    <w:pPr>
      <w:spacing w:before="100" w:beforeAutospacing="1" w:after="100" w:afterAutospacing="1" w:line="240" w:lineRule="auto"/>
      <w:jc w:val="center"/>
    </w:pPr>
    <w:rPr>
      <w:rFonts w:ascii="Times New Roman" w:eastAsia="Times New Roman" w:hAnsi="Times New Roman" w:cs="Times New Roman"/>
      <w:b/>
      <w:bCs/>
      <w:szCs w:val="20"/>
    </w:rPr>
  </w:style>
  <w:style w:type="paragraph" w:customStyle="1" w:styleId="xl173">
    <w:name w:val="xl173"/>
    <w:basedOn w:val="Normal"/>
    <w:pPr>
      <w:pBdr>
        <w:right w:val="single" w:sz="4" w:space="0" w:color="auto"/>
      </w:pBdr>
      <w:spacing w:before="100" w:beforeAutospacing="1" w:after="100" w:afterAutospacing="1" w:line="240" w:lineRule="auto"/>
      <w:jc w:val="center"/>
    </w:pPr>
    <w:rPr>
      <w:rFonts w:ascii="Times New Roman" w:eastAsia="Times New Roman" w:hAnsi="Times New Roman" w:cs="Times New Roman"/>
      <w:b/>
      <w:bCs/>
      <w:szCs w:val="20"/>
    </w:rPr>
  </w:style>
  <w:style w:type="paragraph" w:customStyle="1" w:styleId="xl174">
    <w:name w:val="xl174"/>
    <w:basedOn w:val="Normal"/>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Cs w:val="20"/>
    </w:rPr>
  </w:style>
  <w:style w:type="paragraph" w:customStyle="1" w:styleId="xl175">
    <w:name w:val="xl175"/>
    <w:basedOn w:val="Normal"/>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Cs w:val="20"/>
    </w:rPr>
  </w:style>
  <w:style w:type="paragraph" w:customStyle="1" w:styleId="xl176">
    <w:name w:val="xl176"/>
    <w:basedOn w:val="Normal"/>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Cs w:val="20"/>
    </w:rPr>
  </w:style>
  <w:style w:type="paragraph" w:customStyle="1" w:styleId="xl177">
    <w:name w:val="xl177"/>
    <w:basedOn w:val="Normal"/>
    <w:pPr>
      <w:pBdr>
        <w:top w:val="single" w:sz="4" w:space="0" w:color="auto"/>
        <w:left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b/>
      <w:bCs/>
      <w:sz w:val="18"/>
      <w:szCs w:val="18"/>
    </w:rPr>
  </w:style>
  <w:style w:type="paragraph" w:customStyle="1" w:styleId="xl178">
    <w:name w:val="xl178"/>
    <w:basedOn w:val="Normal"/>
    <w:pPr>
      <w:pBdr>
        <w:top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b/>
      <w:bCs/>
      <w:sz w:val="18"/>
      <w:szCs w:val="18"/>
    </w:rPr>
  </w:style>
  <w:style w:type="paragraph" w:customStyle="1" w:styleId="xl179">
    <w:name w:val="xl179"/>
    <w:basedOn w:val="Normal"/>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80">
    <w:name w:val="xl180"/>
    <w:basedOn w:val="Normal"/>
    <w:pPr>
      <w:pBdr>
        <w:top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sz w:val="16"/>
      <w:szCs w:val="16"/>
    </w:rPr>
  </w:style>
  <w:style w:type="paragraph" w:customStyle="1" w:styleId="xl181">
    <w:name w:val="xl181"/>
    <w:basedOn w:val="Normal"/>
    <w:pPr>
      <w:pBdr>
        <w:top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16"/>
      <w:szCs w:val="16"/>
    </w:rPr>
  </w:style>
  <w:style w:type="paragraph" w:customStyle="1" w:styleId="xl182">
    <w:name w:val="xl182"/>
    <w:basedOn w:val="Normal"/>
    <w:pPr>
      <w:pBdr>
        <w:top w:val="single" w:sz="4" w:space="0" w:color="auto"/>
        <w:left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b/>
      <w:bCs/>
      <w:sz w:val="18"/>
      <w:szCs w:val="18"/>
    </w:rPr>
  </w:style>
  <w:style w:type="paragraph" w:customStyle="1" w:styleId="xl183">
    <w:name w:val="xl183"/>
    <w:basedOn w:val="Normal"/>
    <w:pPr>
      <w:pBdr>
        <w:top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b/>
      <w:bCs/>
      <w:sz w:val="18"/>
      <w:szCs w:val="18"/>
    </w:rPr>
  </w:style>
  <w:style w:type="paragraph" w:customStyle="1" w:styleId="xl184">
    <w:name w:val="xl184"/>
    <w:basedOn w:val="Normal"/>
    <w:pPr>
      <w:pBdr>
        <w:top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sz w:val="16"/>
      <w:szCs w:val="16"/>
    </w:rPr>
  </w:style>
  <w:style w:type="paragraph" w:customStyle="1" w:styleId="xl185">
    <w:name w:val="xl185"/>
    <w:basedOn w:val="Normal"/>
    <w:pPr>
      <w:pBdr>
        <w:top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16"/>
      <w:szCs w:val="16"/>
    </w:rPr>
  </w:style>
  <w:style w:type="paragraph" w:customStyle="1" w:styleId="xl186">
    <w:name w:val="xl186"/>
    <w:basedOn w:val="Normal"/>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Cs w:val="20"/>
    </w:rPr>
  </w:style>
  <w:style w:type="paragraph" w:customStyle="1" w:styleId="xl187">
    <w:name w:val="xl187"/>
    <w:basedOn w:val="Normal"/>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Cs w:val="20"/>
    </w:rPr>
  </w:style>
  <w:style w:type="paragraph" w:customStyle="1" w:styleId="xl188">
    <w:name w:val="xl188"/>
    <w:basedOn w:val="Normal"/>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Cs w:val="20"/>
    </w:rPr>
  </w:style>
  <w:style w:type="paragraph" w:customStyle="1" w:styleId="xl189">
    <w:name w:val="xl189"/>
    <w:basedOn w:val="Normal"/>
    <w:pPr>
      <w:pBdr>
        <w:top w:val="single" w:sz="4" w:space="0" w:color="auto"/>
        <w:left w:val="single" w:sz="4" w:space="0" w:color="auto"/>
      </w:pBdr>
      <w:shd w:val="clear" w:color="000000" w:fill="101010"/>
      <w:spacing w:before="100" w:beforeAutospacing="1" w:after="100" w:afterAutospacing="1" w:line="240" w:lineRule="auto"/>
      <w:jc w:val="left"/>
    </w:pPr>
    <w:rPr>
      <w:rFonts w:eastAsia="Times New Roman" w:cs="Arial"/>
      <w:b/>
      <w:bCs/>
      <w:color w:val="FFFFFF"/>
      <w:sz w:val="14"/>
      <w:szCs w:val="14"/>
    </w:rPr>
  </w:style>
  <w:style w:type="paragraph" w:customStyle="1" w:styleId="xl190">
    <w:name w:val="xl190"/>
    <w:basedOn w:val="Normal"/>
    <w:pPr>
      <w:pBdr>
        <w:left w:val="single" w:sz="4" w:space="0" w:color="auto"/>
        <w:bottom w:val="single" w:sz="4" w:space="0" w:color="auto"/>
      </w:pBdr>
      <w:shd w:val="clear" w:color="000000" w:fill="101010"/>
      <w:spacing w:before="100" w:beforeAutospacing="1" w:after="100" w:afterAutospacing="1" w:line="240" w:lineRule="auto"/>
      <w:jc w:val="left"/>
    </w:pPr>
    <w:rPr>
      <w:rFonts w:eastAsia="Times New Roman" w:cs="Arial"/>
      <w:b/>
      <w:bCs/>
      <w:color w:val="FFFFFF"/>
      <w:sz w:val="14"/>
      <w:szCs w:val="14"/>
    </w:rPr>
  </w:style>
  <w:style w:type="paragraph" w:styleId="Corpsdetexte">
    <w:name w:val="Body Text"/>
    <w:basedOn w:val="Normal"/>
    <w:link w:val="CorpsdetexteCar"/>
    <w:pPr>
      <w:spacing w:line="240" w:lineRule="auto"/>
    </w:pPr>
    <w:rPr>
      <w:rFonts w:eastAsia="Times New Roman" w:cs="Arial"/>
      <w:sz w:val="24"/>
      <w:szCs w:val="24"/>
    </w:rPr>
  </w:style>
  <w:style w:type="character" w:customStyle="1" w:styleId="CorpsdetexteCar">
    <w:name w:val="Corps de texte Car"/>
    <w:basedOn w:val="Policepardfaut"/>
    <w:link w:val="Corpsdetexte"/>
    <w:rPr>
      <w:rFonts w:ascii="Arial" w:eastAsia="Times New Roman" w:hAnsi="Arial" w:cs="Arial"/>
      <w:color w:val="000000" w:themeColor="background1"/>
      <w:sz w:val="24"/>
      <w:szCs w:val="24"/>
      <w:lang w:eastAsia="fr-FR"/>
    </w:rPr>
  </w:style>
  <w:style w:type="character" w:styleId="Lienhypertextesuivivisit">
    <w:name w:val="FollowedHyperlink"/>
    <w:basedOn w:val="Policepardfaut"/>
    <w:uiPriority w:val="99"/>
    <w:semiHidden/>
    <w:unhideWhenUsed/>
    <w:rPr>
      <w:color w:val="9999FF" w:themeColor="followedHyperlink"/>
      <w:u w:val="single"/>
    </w:rPr>
  </w:style>
  <w:style w:type="character" w:customStyle="1" w:styleId="Style9">
    <w:name w:val="Style9"/>
    <w:basedOn w:val="Policepardfaut"/>
    <w:uiPriority w:val="1"/>
    <w:rPr>
      <w:rFonts w:asciiTheme="minorHAnsi" w:hAnsiTheme="minorHAnsi"/>
      <w:color w:val="605C5B" w:themeColor="text1"/>
      <w:sz w:val="18"/>
    </w:rPr>
  </w:style>
  <w:style w:type="character" w:customStyle="1" w:styleId="listedechoix">
    <w:name w:val="liste de choix"/>
    <w:basedOn w:val="Policepardfaut"/>
    <w:uiPriority w:val="1"/>
    <w:rPr>
      <w:rFonts w:asciiTheme="minorHAnsi" w:hAnsiTheme="minorHAnsi"/>
      <w:color w:val="auto"/>
      <w:sz w:val="18"/>
    </w:rPr>
  </w:style>
  <w:style w:type="character" w:customStyle="1" w:styleId="Style2">
    <w:name w:val="Style2"/>
    <w:basedOn w:val="listedechoix"/>
    <w:uiPriority w:val="1"/>
    <w:rPr>
      <w:rFonts w:asciiTheme="minorHAnsi" w:hAnsiTheme="minorHAnsi"/>
      <w:color w:val="auto"/>
      <w:sz w:val="18"/>
    </w:rPr>
  </w:style>
  <w:style w:type="character" w:customStyle="1" w:styleId="listedechoix2">
    <w:name w:val="liste de choix 2"/>
    <w:basedOn w:val="listedechoix"/>
    <w:uiPriority w:val="1"/>
    <w:rPr>
      <w:rFonts w:asciiTheme="minorHAnsi" w:hAnsiTheme="minorHAnsi"/>
      <w:color w:val="auto"/>
      <w:sz w:val="22"/>
    </w:rPr>
  </w:style>
  <w:style w:type="paragraph" w:styleId="Citationintense">
    <w:name w:val="Intense Quote"/>
    <w:basedOn w:val="Normal"/>
    <w:next w:val="Normal"/>
    <w:link w:val="CitationintenseCar"/>
    <w:uiPriority w:val="30"/>
    <w:pPr>
      <w:pBdr>
        <w:bottom w:val="single" w:sz="4" w:space="4" w:color="F3C345" w:themeColor="accent1"/>
      </w:pBdr>
      <w:spacing w:before="200" w:after="280"/>
      <w:ind w:left="936" w:right="936"/>
    </w:pPr>
    <w:rPr>
      <w:b/>
      <w:bCs/>
      <w:i/>
      <w:iCs/>
      <w:color w:val="F3C345" w:themeColor="accent1"/>
    </w:rPr>
  </w:style>
  <w:style w:type="character" w:customStyle="1" w:styleId="CitationintenseCar">
    <w:name w:val="Citation intense Car"/>
    <w:basedOn w:val="Policepardfaut"/>
    <w:link w:val="Citationintense"/>
    <w:uiPriority w:val="30"/>
    <w:rPr>
      <w:rFonts w:ascii="Arial" w:hAnsi="Arial"/>
      <w:b/>
      <w:bCs/>
      <w:i/>
      <w:iCs/>
      <w:color w:val="F3C345" w:themeColor="accent1"/>
      <w:sz w:val="20"/>
      <w:lang w:eastAsia="fr-FR"/>
    </w:rPr>
  </w:style>
  <w:style w:type="paragraph" w:customStyle="1" w:styleId="Normal2">
    <w:name w:val="Normal2"/>
    <w:basedOn w:val="Normal"/>
    <w:pPr>
      <w:widowControl w:val="0"/>
      <w:jc w:val="center"/>
    </w:pPr>
    <w:rPr>
      <w:rFonts w:asciiTheme="minorHAnsi" w:hAnsiTheme="minorHAnsi"/>
      <w:sz w:val="22"/>
    </w:rPr>
  </w:style>
  <w:style w:type="table" w:customStyle="1" w:styleId="Altra1">
    <w:name w:val="Altéréa_1"/>
    <w:basedOn w:val="TableauNormal"/>
    <w:uiPriority w:val="99"/>
    <w:pPr>
      <w:spacing w:after="0" w:line="240" w:lineRule="auto"/>
    </w:pPr>
    <w:rPr>
      <w:rFonts w:ascii="Arial" w:hAnsi="Arial"/>
      <w:color w:val="605C5B" w:themeColor="text1"/>
    </w:rPr>
    <w:tblPr>
      <w:tblStyleRowBandSize w:val="1"/>
      <w:tblStyleColBandSize w:val="1"/>
      <w:tblBorders>
        <w:top w:val="single" w:sz="8" w:space="0" w:color="605C5B" w:themeColor="text1"/>
        <w:left w:val="single" w:sz="8" w:space="0" w:color="605C5B" w:themeColor="text1"/>
        <w:bottom w:val="single" w:sz="8" w:space="0" w:color="605C5B" w:themeColor="text1"/>
        <w:right w:val="single" w:sz="8" w:space="0" w:color="605C5B" w:themeColor="text1"/>
      </w:tblBorders>
    </w:tblPr>
    <w:tblStylePr w:type="firstRow">
      <w:pPr>
        <w:jc w:val="center"/>
      </w:pPr>
      <w:rPr>
        <w:rFonts w:ascii="Arial" w:hAnsi="Arial" w:cs="Arial" w:hint="default"/>
        <w:b/>
        <w:color w:val="605C5B" w:themeColor="text1"/>
        <w:sz w:val="20"/>
        <w:szCs w:val="20"/>
      </w:rPr>
      <w:tblPr/>
      <w:tcPr>
        <w:tcBorders>
          <w:top w:val="single" w:sz="8" w:space="0" w:color="605C5B" w:themeColor="text1"/>
          <w:left w:val="single" w:sz="8" w:space="0" w:color="605C5B" w:themeColor="text1"/>
          <w:bottom w:val="none" w:sz="4" w:space="0" w:color="000000"/>
          <w:right w:val="single" w:sz="8" w:space="0" w:color="605C5B" w:themeColor="text1"/>
          <w:insideH w:val="none" w:sz="4" w:space="0" w:color="000000"/>
          <w:insideV w:val="single" w:sz="8" w:space="0" w:color="605C5B" w:themeColor="text1"/>
        </w:tcBorders>
        <w:shd w:val="clear" w:color="auto" w:fill="F3C345" w:themeFill="accent1"/>
        <w:vAlign w:val="center"/>
      </w:tcPr>
    </w:tblStylePr>
    <w:tblStylePr w:type="lastRow">
      <w:tblPr/>
      <w:tcPr>
        <w:tcBorders>
          <w:bottom w:val="none" w:sz="4" w:space="0" w:color="000000"/>
        </w:tcBorders>
      </w:tcPr>
    </w:tblStylePr>
    <w:tblStylePr w:type="firstCol">
      <w:rPr>
        <w:rFonts w:ascii="Arial" w:hAnsi="Arial" w:cs="Arial" w:hint="default"/>
        <w:b/>
        <w:color w:val="605C5B" w:themeColor="text1"/>
        <w:sz w:val="20"/>
        <w:szCs w:val="20"/>
      </w:rPr>
      <w:tblPr/>
      <w:tcPr>
        <w:tcBorders>
          <w:left w:val="single" w:sz="8" w:space="0" w:color="605C5B" w:themeColor="text1"/>
          <w:right w:val="single" w:sz="8" w:space="0" w:color="A29F9F" w:themeColor="background2"/>
          <w:insideH w:val="single" w:sz="8" w:space="0" w:color="A29F9F" w:themeColor="background2"/>
        </w:tcBorders>
        <w:shd w:val="clear" w:color="auto" w:fill="F3C345" w:themeFill="accent1"/>
      </w:tcPr>
    </w:tblStylePr>
    <w:tblStylePr w:type="band1Vert">
      <w:tblPr/>
      <w:tcPr>
        <w:tcBorders>
          <w:left w:val="none" w:sz="4" w:space="0" w:color="000000"/>
        </w:tcBorders>
      </w:tcPr>
    </w:tblStylePr>
    <w:tblStylePr w:type="band1Horz">
      <w:rPr>
        <w:rFonts w:ascii="Arial" w:hAnsi="Arial" w:cs="Arial" w:hint="default"/>
        <w:color w:val="605C5B" w:themeColor="text1"/>
        <w:sz w:val="20"/>
        <w:szCs w:val="20"/>
      </w:rPr>
      <w:tblPr/>
      <w:tcPr>
        <w:tcBorders>
          <w:left w:val="single" w:sz="8" w:space="0" w:color="605C5B" w:themeColor="text1"/>
          <w:right w:val="single" w:sz="8" w:space="0" w:color="605C5B" w:themeColor="text1"/>
          <w:insideV w:val="single" w:sz="8" w:space="0" w:color="605C5B" w:themeColor="text1"/>
        </w:tcBorders>
      </w:tcPr>
    </w:tblStylePr>
    <w:tblStylePr w:type="band2Horz">
      <w:tblPr/>
      <w:tcPr>
        <w:tcBorders>
          <w:left w:val="none" w:sz="4" w:space="0" w:color="000000"/>
          <w:right w:val="single" w:sz="8" w:space="0" w:color="605C5B" w:themeColor="text1"/>
          <w:insideV w:val="single" w:sz="8" w:space="0" w:color="605C5B" w:themeColor="text1"/>
        </w:tcBorders>
        <w:shd w:val="clear" w:color="auto" w:fill="FFF0D5" w:themeFill="accent3"/>
      </w:tcPr>
    </w:tblStylePr>
    <w:tblStylePr w:type="nwCell">
      <w:tblPr/>
      <w:tcPr>
        <w:tcBorders>
          <w:bottom w:val="single" w:sz="8" w:space="0" w:color="A29F9F" w:themeColor="background2"/>
        </w:tcBorders>
      </w:tcPr>
    </w:tblStylePr>
  </w:style>
  <w:style w:type="paragraph" w:customStyle="1" w:styleId="ajea1">
    <w:name w:val="ajea 1"/>
    <w:basedOn w:val="Normal"/>
    <w:link w:val="ajea1Car"/>
    <w:pPr>
      <w:jc w:val="left"/>
    </w:pPr>
    <w:rPr>
      <w:rFonts w:asciiTheme="minorHAnsi" w:hAnsiTheme="minorHAnsi"/>
      <w:color w:val="B0ACAB" w:themeColor="text1" w:themeTint="80"/>
      <w:sz w:val="28"/>
      <w:szCs w:val="28"/>
    </w:rPr>
  </w:style>
  <w:style w:type="character" w:customStyle="1" w:styleId="ajea1Car">
    <w:name w:val="ajea 1 Car"/>
    <w:basedOn w:val="Policepardfaut"/>
    <w:link w:val="ajea1"/>
    <w:rPr>
      <w:color w:val="B0ACAB" w:themeColor="text1" w:themeTint="80"/>
      <w:sz w:val="28"/>
      <w:szCs w:val="28"/>
      <w:lang w:eastAsia="fr-FR"/>
    </w:rPr>
  </w:style>
  <w:style w:type="character" w:styleId="Accentuation">
    <w:name w:val="Emphasis"/>
    <w:uiPriority w:val="20"/>
    <w:rPr>
      <w:rFonts w:ascii="Arial" w:hAnsi="Arial"/>
      <w:b w:val="0"/>
      <w:i/>
      <w:iCs/>
      <w:color w:val="F3C345" w:themeColor="accent1"/>
      <w:sz w:val="24"/>
    </w:rPr>
  </w:style>
  <w:style w:type="paragraph" w:customStyle="1" w:styleId="Titre5bis">
    <w:name w:val="Titre 5 bis"/>
    <w:basedOn w:val="Titre50"/>
    <w:link w:val="Titre5bisCar"/>
    <w:pPr>
      <w:numPr>
        <w:numId w:val="2"/>
      </w:numPr>
      <w:spacing w:before="120"/>
      <w:jc w:val="left"/>
    </w:pPr>
    <w:rPr>
      <w:rFonts w:asciiTheme="majorHAnsi" w:hAnsiTheme="majorHAnsi"/>
      <w:bCs w:val="0"/>
      <w:i w:val="0"/>
      <w:iCs w:val="0"/>
    </w:rPr>
  </w:style>
  <w:style w:type="character" w:customStyle="1" w:styleId="Titre5bisCar">
    <w:name w:val="Titre 5 bis Car"/>
    <w:basedOn w:val="Titre5Car"/>
    <w:link w:val="Titre5bis"/>
    <w:rPr>
      <w:rFonts w:asciiTheme="majorHAnsi" w:eastAsiaTheme="majorEastAsia" w:hAnsiTheme="majorHAnsi" w:cstheme="majorBidi"/>
      <w:bCs w:val="0"/>
      <w:i w:val="0"/>
      <w:iCs w:val="0"/>
      <w:color w:val="605C5B" w:themeColor="text1"/>
      <w:sz w:val="20"/>
      <w:szCs w:val="20"/>
      <w:lang w:eastAsia="fr-FR"/>
    </w:rPr>
  </w:style>
  <w:style w:type="paragraph" w:customStyle="1" w:styleId="lgende0">
    <w:name w:val="légende"/>
    <w:basedOn w:val="Normal"/>
    <w:link w:val="lgendeCar0"/>
    <w:qFormat/>
    <w:pPr>
      <w:spacing w:after="240"/>
      <w:contextualSpacing/>
      <w:jc w:val="center"/>
    </w:pPr>
    <w:rPr>
      <w:i/>
      <w:color w:val="605C5B" w:themeColor="text1"/>
      <w:szCs w:val="20"/>
      <w:u w:val="single"/>
    </w:rPr>
  </w:style>
  <w:style w:type="table" w:customStyle="1" w:styleId="Altra2">
    <w:name w:val="Altéréa2"/>
    <w:basedOn w:val="TableauNormal"/>
    <w:uiPriority w:val="99"/>
    <w:pPr>
      <w:spacing w:after="0" w:line="240" w:lineRule="auto"/>
    </w:pPr>
    <w:rPr>
      <w:rFonts w:ascii="Arial" w:hAnsi="Arial"/>
      <w:sz w:val="20"/>
      <w:lang w:eastAsia="fr-FR"/>
    </w:rPr>
    <w:tblPr>
      <w:tblStyleRowBandSize w:val="1"/>
      <w:tblBorders>
        <w:top w:val="single" w:sz="8" w:space="0" w:color="605C5B" w:themeColor="text1"/>
        <w:left w:val="single" w:sz="8" w:space="0" w:color="605C5B" w:themeColor="text1"/>
        <w:bottom w:val="single" w:sz="8" w:space="0" w:color="605C5B" w:themeColor="text1"/>
        <w:right w:val="single" w:sz="8" w:space="0" w:color="605C5B" w:themeColor="text1"/>
        <w:insideV w:val="single" w:sz="4" w:space="0" w:color="000000" w:themeColor="background1"/>
      </w:tblBorders>
    </w:tblPr>
    <w:tcPr>
      <w:vAlign w:val="center"/>
    </w:tcPr>
    <w:tblStylePr w:type="firstRow">
      <w:rPr>
        <w:b/>
      </w:rPr>
      <w:tblPr/>
      <w:tcPr>
        <w:shd w:val="clear" w:color="auto" w:fill="F7D586" w:themeFill="accent2"/>
      </w:tcPr>
    </w:tblStylePr>
    <w:tblStylePr w:type="firstCol">
      <w:pPr>
        <w:jc w:val="center"/>
      </w:pPr>
      <w:rPr>
        <w:rFonts w:ascii="Arial" w:hAnsi="Arial"/>
        <w:b/>
        <w:sz w:val="20"/>
      </w:rPr>
      <w:tblPr/>
      <w:tcPr>
        <w:tcBorders>
          <w:insideH w:val="single" w:sz="4" w:space="0" w:color="auto"/>
        </w:tcBorders>
        <w:shd w:val="clear" w:color="auto" w:fill="F7D586" w:themeFill="accent2"/>
      </w:tcPr>
    </w:tblStylePr>
    <w:tblStylePr w:type="band1Horz">
      <w:tblPr/>
      <w:tcPr>
        <w:tcBorders>
          <w:left w:val="single" w:sz="8" w:space="0" w:color="605C5B" w:themeColor="text1"/>
          <w:right w:val="single" w:sz="8" w:space="0" w:color="605C5B" w:themeColor="text1"/>
          <w:insideV w:val="single" w:sz="8" w:space="0" w:color="605C5B" w:themeColor="text1"/>
        </w:tcBorders>
      </w:tcPr>
    </w:tblStylePr>
    <w:tblStylePr w:type="band2Horz">
      <w:tblPr/>
      <w:tcPr>
        <w:shd w:val="clear" w:color="auto" w:fill="FFF0D5" w:themeFill="accent3"/>
      </w:tcPr>
    </w:tblStylePr>
  </w:style>
  <w:style w:type="table" w:styleId="Ombrageclair">
    <w:name w:val="Light Shading"/>
    <w:basedOn w:val="TableauNormal"/>
    <w:uiPriority w:val="60"/>
    <w:pPr>
      <w:spacing w:after="0" w:line="240" w:lineRule="auto"/>
    </w:pPr>
    <w:rPr>
      <w:color w:val="474544" w:themeColor="text1" w:themeShade="BF"/>
      <w:lang w:eastAsia="fr-FR"/>
    </w:rPr>
    <w:tblPr>
      <w:tblStyleRowBandSize w:val="1"/>
      <w:tblStyleColBandSize w:val="1"/>
      <w:tblBorders>
        <w:top w:val="single" w:sz="8" w:space="0" w:color="605C5B" w:themeColor="text1"/>
        <w:bottom w:val="single" w:sz="8" w:space="0" w:color="605C5B" w:themeColor="text1"/>
      </w:tblBorders>
    </w:tblPr>
    <w:tblStylePr w:type="firstRow">
      <w:pPr>
        <w:spacing w:before="0" w:after="0" w:line="240" w:lineRule="auto"/>
      </w:pPr>
      <w:rPr>
        <w:b/>
        <w:bCs/>
      </w:rPr>
      <w:tblPr/>
      <w:tcPr>
        <w:tcBorders>
          <w:top w:val="single" w:sz="8" w:space="0" w:color="605C5B" w:themeColor="text1"/>
          <w:left w:val="none" w:sz="4" w:space="0" w:color="000000"/>
          <w:bottom w:val="single" w:sz="8" w:space="0" w:color="605C5B" w:themeColor="text1"/>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605C5B" w:themeColor="text1"/>
          <w:left w:val="none" w:sz="4" w:space="0" w:color="000000"/>
          <w:bottom w:val="single" w:sz="8" w:space="0" w:color="605C5B" w:themeColor="text1"/>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8D6D5" w:themeFill="text1" w:themeFillTint="3F"/>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D8D6D5" w:themeFill="text1" w:themeFillTint="3F"/>
      </w:tcPr>
    </w:tblStylePr>
  </w:style>
  <w:style w:type="numbering" w:customStyle="1" w:styleId="Styleavecpuces">
    <w:name w:val="Style avec puces"/>
    <w:basedOn w:val="Aucuneliste"/>
    <w:pPr>
      <w:numPr>
        <w:numId w:val="7"/>
      </w:numPr>
    </w:pPr>
  </w:style>
  <w:style w:type="paragraph" w:styleId="Citation">
    <w:name w:val="Quote"/>
    <w:basedOn w:val="Normal"/>
    <w:next w:val="Normal"/>
    <w:link w:val="CitationCar"/>
    <w:uiPriority w:val="29"/>
    <w:rPr>
      <w:i/>
      <w:iCs/>
      <w:color w:val="605C5B" w:themeColor="text1"/>
    </w:rPr>
  </w:style>
  <w:style w:type="character" w:customStyle="1" w:styleId="CitationCar">
    <w:name w:val="Citation Car"/>
    <w:basedOn w:val="Policepardfaut"/>
    <w:link w:val="Citation"/>
    <w:uiPriority w:val="29"/>
    <w:rPr>
      <w:rFonts w:ascii="Arial" w:hAnsi="Arial"/>
      <w:i/>
      <w:iCs/>
      <w:color w:val="605C5B" w:themeColor="text1"/>
      <w:sz w:val="20"/>
      <w:lang w:eastAsia="fr-FR"/>
    </w:rPr>
  </w:style>
  <w:style w:type="character" w:styleId="Rfrencelgre">
    <w:name w:val="Subtle Reference"/>
    <w:basedOn w:val="Policepardfaut"/>
    <w:uiPriority w:val="31"/>
    <w:rPr>
      <w:smallCaps/>
      <w:color w:val="F7D586" w:themeColor="accent2"/>
      <w:u w:val="single"/>
    </w:rPr>
  </w:style>
  <w:style w:type="table" w:styleId="Tramemoyenne2">
    <w:name w:val="Medium Shading 2"/>
    <w:basedOn w:val="TableauNormal"/>
    <w:uiPriority w:val="64"/>
    <w:pPr>
      <w:spacing w:after="0" w:line="240" w:lineRule="auto"/>
    </w:pPr>
    <w:rPr>
      <w:lang w:eastAsia="fr-FR"/>
    </w:rPr>
    <w:tblPr>
      <w:tblStyleRowBandSize w:val="1"/>
      <w:tblStyleColBandSize w:val="1"/>
      <w:tblBorders>
        <w:top w:val="single" w:sz="18" w:space="0" w:color="000000"/>
        <w:bottom w:val="single" w:sz="18" w:space="0" w:color="000000"/>
      </w:tblBorders>
    </w:tblPr>
    <w:tblStylePr w:type="firstRow">
      <w:pPr>
        <w:spacing w:before="0" w:after="0" w:line="240" w:lineRule="auto"/>
      </w:pPr>
      <w:rPr>
        <w:b/>
        <w:bCs/>
        <w:color w:val="000000"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shd w:val="clear" w:color="auto" w:fill="605C5B" w:themeFill="text1"/>
      </w:tcPr>
    </w:tblStylePr>
    <w:tblStylePr w:type="lastRow">
      <w:pPr>
        <w:spacing w:before="0" w:after="0" w:line="240" w:lineRule="auto"/>
      </w:pPr>
      <w:rPr>
        <w:color w:val="auto"/>
      </w:rPr>
      <w:tblPr/>
      <w:tcPr>
        <w:tcBorders>
          <w:top w:val="single" w:sz="6" w:space="0" w:color="auto"/>
          <w:left w:val="none" w:sz="4" w:space="0" w:color="000000"/>
          <w:bottom w:val="single" w:sz="18" w:space="0" w:color="auto"/>
          <w:right w:val="none" w:sz="4" w:space="0" w:color="000000"/>
          <w:insideH w:val="none" w:sz="4" w:space="0" w:color="000000"/>
          <w:insideV w:val="none" w:sz="4" w:space="0" w:color="000000"/>
        </w:tcBorders>
        <w:shd w:val="clear" w:color="auto" w:fill="000000" w:themeFill="background1"/>
      </w:tcPr>
    </w:tblStylePr>
    <w:tblStylePr w:type="firstCol">
      <w:rPr>
        <w:b/>
        <w:bCs/>
        <w:color w:val="000000" w:themeColor="background1"/>
      </w:rPr>
      <w:tblPr/>
      <w:tcPr>
        <w:tcBorders>
          <w:top w:val="none" w:sz="4" w:space="0" w:color="000000"/>
          <w:left w:val="none" w:sz="4" w:space="0" w:color="000000"/>
          <w:bottom w:val="single" w:sz="18" w:space="0" w:color="auto"/>
          <w:right w:val="none" w:sz="4" w:space="0" w:color="000000"/>
          <w:insideH w:val="none" w:sz="4" w:space="0" w:color="000000"/>
          <w:insideV w:val="none" w:sz="4" w:space="0" w:color="000000"/>
        </w:tcBorders>
        <w:shd w:val="clear" w:color="auto" w:fill="605C5B" w:themeFill="text1"/>
      </w:tcPr>
    </w:tblStylePr>
    <w:tblStylePr w:type="lastCol">
      <w:rPr>
        <w:b/>
        <w:bCs/>
        <w:color w:val="000000" w:themeColor="background1"/>
      </w:rPr>
      <w:tblPr/>
      <w:tcPr>
        <w:tcBorders>
          <w:left w:val="none" w:sz="4" w:space="0" w:color="000000"/>
          <w:right w:val="none" w:sz="4" w:space="0" w:color="000000"/>
          <w:insideH w:val="none" w:sz="4" w:space="0" w:color="000000"/>
          <w:insideV w:val="none" w:sz="4" w:space="0" w:color="000000"/>
        </w:tcBorders>
        <w:shd w:val="clear" w:color="auto" w:fill="605C5B" w:themeFill="text1"/>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000000" w:themeFill="background1" w:themeFillShade="D8"/>
      </w:tcPr>
    </w:tblStylePr>
    <w:tblStylePr w:type="band1Horz">
      <w:tblPr/>
      <w:tcPr>
        <w:shd w:val="clear" w:color="auto" w:fill="000000" w:themeFill="background1" w:themeFillShade="D8"/>
      </w:tcPr>
    </w:tblStylePr>
    <w:tblStylePr w:type="neCell">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tblStylePr w:type="nwCell">
      <w:rPr>
        <w:color w:val="000000"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style>
  <w:style w:type="table" w:styleId="Tramemoyenne1-Accent2">
    <w:name w:val="Medium Shading 1 Accent 2"/>
    <w:basedOn w:val="TableauNormal"/>
    <w:uiPriority w:val="63"/>
    <w:pPr>
      <w:spacing w:after="0" w:line="240" w:lineRule="auto"/>
    </w:pPr>
    <w:rPr>
      <w:lang w:eastAsia="fr-FR"/>
    </w:rPr>
    <w:tblPr>
      <w:tblStyleRowBandSize w:val="1"/>
      <w:tblStyleColBandSize w:val="1"/>
      <w:tblBorders>
        <w:top w:val="single" w:sz="8" w:space="0" w:color="F9DFA4" w:themeColor="accent2" w:themeTint="BF"/>
        <w:left w:val="single" w:sz="8" w:space="0" w:color="F9DFA4" w:themeColor="accent2" w:themeTint="BF"/>
        <w:bottom w:val="single" w:sz="8" w:space="0" w:color="F9DFA4" w:themeColor="accent2" w:themeTint="BF"/>
        <w:right w:val="single" w:sz="8" w:space="0" w:color="F9DFA4" w:themeColor="accent2" w:themeTint="BF"/>
        <w:insideH w:val="single" w:sz="8" w:space="0" w:color="F9DFA4" w:themeColor="accent2" w:themeTint="BF"/>
      </w:tblBorders>
    </w:tblPr>
    <w:tblStylePr w:type="firstRow">
      <w:pPr>
        <w:spacing w:before="0" w:after="0" w:line="240" w:lineRule="auto"/>
      </w:pPr>
      <w:rPr>
        <w:b/>
        <w:bCs/>
        <w:color w:val="000000" w:themeColor="background1"/>
      </w:rPr>
      <w:tblPr/>
      <w:tcPr>
        <w:tcBorders>
          <w:top w:val="single" w:sz="8" w:space="0" w:color="F9DFA4" w:themeColor="accent2" w:themeTint="BF"/>
          <w:left w:val="single" w:sz="8" w:space="0" w:color="F9DFA4" w:themeColor="accent2" w:themeTint="BF"/>
          <w:bottom w:val="single" w:sz="8" w:space="0" w:color="F9DFA4" w:themeColor="accent2" w:themeTint="BF"/>
          <w:right w:val="single" w:sz="8" w:space="0" w:color="F9DFA4" w:themeColor="accent2" w:themeTint="BF"/>
          <w:insideH w:val="none" w:sz="4" w:space="0" w:color="000000"/>
          <w:insideV w:val="none" w:sz="4" w:space="0" w:color="000000"/>
        </w:tcBorders>
        <w:shd w:val="clear" w:color="auto" w:fill="F7D586" w:themeFill="accent2"/>
      </w:tcPr>
    </w:tblStylePr>
    <w:tblStylePr w:type="lastRow">
      <w:pPr>
        <w:spacing w:before="0" w:after="0" w:line="240" w:lineRule="auto"/>
      </w:pPr>
      <w:rPr>
        <w:b/>
        <w:bCs/>
      </w:rPr>
      <w:tblPr/>
      <w:tcPr>
        <w:tcBorders>
          <w:top w:val="single" w:sz="6" w:space="0" w:color="F9DFA4" w:themeColor="accent2" w:themeTint="BF"/>
          <w:left w:val="single" w:sz="8" w:space="0" w:color="F9DFA4" w:themeColor="accent2" w:themeTint="BF"/>
          <w:bottom w:val="single" w:sz="8" w:space="0" w:color="F9DFA4" w:themeColor="accent2" w:themeTint="BF"/>
          <w:right w:val="single" w:sz="8" w:space="0" w:color="F9DFA4" w:themeColor="accent2" w:themeTint="BF"/>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FDF4E0" w:themeFill="accent2" w:themeFillTint="3F"/>
      </w:tcPr>
    </w:tblStylePr>
    <w:tblStylePr w:type="band1Horz">
      <w:tblPr/>
      <w:tcPr>
        <w:tcBorders>
          <w:insideH w:val="none" w:sz="4" w:space="0" w:color="000000"/>
          <w:insideV w:val="none" w:sz="4" w:space="0" w:color="000000"/>
        </w:tcBorders>
        <w:shd w:val="clear" w:color="auto" w:fill="FDF4E0" w:themeFill="accent2" w:themeFillTint="3F"/>
      </w:tcPr>
    </w:tblStylePr>
    <w:tblStylePr w:type="band2Horz">
      <w:tblPr/>
      <w:tcPr>
        <w:tcBorders>
          <w:insideH w:val="none" w:sz="4" w:space="0" w:color="000000"/>
          <w:insideV w:val="none" w:sz="4" w:space="0" w:color="000000"/>
        </w:tcBorders>
      </w:tcPr>
    </w:tblStylePr>
  </w:style>
  <w:style w:type="table" w:styleId="Grillemoyenne3-Accent1">
    <w:name w:val="Medium Grid 3 Accent 1"/>
    <w:basedOn w:val="TableauNormal"/>
    <w:uiPriority w:val="69"/>
    <w:pPr>
      <w:spacing w:after="0" w:line="240" w:lineRule="auto"/>
    </w:pPr>
    <w:rPr>
      <w:lang w:eastAsia="fr-FR"/>
    </w:rPr>
    <w:tblPr>
      <w:tblStyleRowBandSize w:val="1"/>
      <w:tblStyleColBandSize w:val="1"/>
      <w:tblBorders>
        <w:top w:val="single" w:sz="8" w:space="0" w:color="000000" w:themeColor="background1"/>
        <w:left w:val="single" w:sz="8" w:space="0" w:color="000000" w:themeColor="background1"/>
        <w:bottom w:val="single" w:sz="8" w:space="0" w:color="000000" w:themeColor="background1"/>
        <w:right w:val="single" w:sz="8" w:space="0" w:color="000000" w:themeColor="background1"/>
        <w:insideH w:val="single" w:sz="6" w:space="0" w:color="000000" w:themeColor="background1"/>
        <w:insideV w:val="single" w:sz="6" w:space="0" w:color="000000" w:themeColor="background1"/>
      </w:tblBorders>
    </w:tblPr>
    <w:tcPr>
      <w:shd w:val="clear" w:color="auto" w:fill="FCF0D0" w:themeFill="accent1" w:themeFillTint="3F"/>
    </w:tcPr>
    <w:tblStylePr w:type="firstRow">
      <w:rPr>
        <w:b/>
        <w:bCs/>
        <w:i w:val="0"/>
        <w:iCs w:val="0"/>
        <w:color w:val="000000" w:themeColor="background1"/>
      </w:rPr>
      <w:tblPr/>
      <w:tcPr>
        <w:tcBorders>
          <w:top w:val="single" w:sz="8" w:space="0" w:color="000000" w:themeColor="background1"/>
          <w:left w:val="single" w:sz="8" w:space="0" w:color="000000" w:themeColor="background1"/>
          <w:bottom w:val="single" w:sz="24" w:space="0" w:color="000000" w:themeColor="background1"/>
          <w:right w:val="single" w:sz="8" w:space="0" w:color="000000" w:themeColor="background1"/>
          <w:insideH w:val="none" w:sz="4" w:space="0" w:color="000000"/>
          <w:insideV w:val="single" w:sz="8" w:space="0" w:color="000000" w:themeColor="background1"/>
        </w:tcBorders>
        <w:shd w:val="clear" w:color="auto" w:fill="F3C345" w:themeFill="accent1"/>
      </w:tcPr>
    </w:tblStylePr>
    <w:tblStylePr w:type="lastRow">
      <w:rPr>
        <w:b/>
        <w:bCs/>
        <w:i w:val="0"/>
        <w:iCs w:val="0"/>
        <w:color w:val="000000" w:themeColor="background1"/>
      </w:rPr>
      <w:tblPr/>
      <w:tcPr>
        <w:tcBorders>
          <w:top w:val="single" w:sz="24" w:space="0" w:color="000000" w:themeColor="background1"/>
          <w:left w:val="single" w:sz="8" w:space="0" w:color="000000" w:themeColor="background1"/>
          <w:bottom w:val="single" w:sz="8" w:space="0" w:color="000000" w:themeColor="background1"/>
          <w:right w:val="single" w:sz="8" w:space="0" w:color="000000" w:themeColor="background1"/>
          <w:insideH w:val="none" w:sz="4" w:space="0" w:color="000000"/>
          <w:insideV w:val="single" w:sz="8" w:space="0" w:color="000000" w:themeColor="background1"/>
        </w:tcBorders>
        <w:shd w:val="clear" w:color="auto" w:fill="F3C345" w:themeFill="accent1"/>
      </w:tcPr>
    </w:tblStylePr>
    <w:tblStylePr w:type="firstCol">
      <w:rPr>
        <w:b/>
        <w:bCs/>
        <w:i w:val="0"/>
        <w:iCs w:val="0"/>
        <w:color w:val="000000" w:themeColor="background1"/>
      </w:rPr>
      <w:tblPr/>
      <w:tcPr>
        <w:tcBorders>
          <w:left w:val="single" w:sz="8" w:space="0" w:color="000000" w:themeColor="background1"/>
          <w:right w:val="single" w:sz="24" w:space="0" w:color="000000" w:themeColor="background1"/>
          <w:insideH w:val="none" w:sz="4" w:space="0" w:color="000000"/>
          <w:insideV w:val="none" w:sz="4" w:space="0" w:color="000000"/>
        </w:tcBorders>
        <w:shd w:val="clear" w:color="auto" w:fill="F3C345" w:themeFill="accent1"/>
      </w:tcPr>
    </w:tblStylePr>
    <w:tblStylePr w:type="lastCol">
      <w:rPr>
        <w:b/>
        <w:bCs/>
        <w:i w:val="0"/>
        <w:iCs w:val="0"/>
        <w:color w:val="000000" w:themeColor="background1"/>
      </w:rPr>
      <w:tblPr/>
      <w:tcPr>
        <w:tcBorders>
          <w:top w:val="none" w:sz="4" w:space="0" w:color="000000"/>
          <w:left w:val="single" w:sz="24" w:space="0" w:color="000000" w:themeColor="background1"/>
          <w:bottom w:val="none" w:sz="4" w:space="0" w:color="000000"/>
          <w:right w:val="none" w:sz="4" w:space="0" w:color="000000"/>
          <w:insideH w:val="none" w:sz="4" w:space="0" w:color="000000"/>
          <w:insideV w:val="none" w:sz="4" w:space="0" w:color="000000"/>
        </w:tcBorders>
        <w:shd w:val="clear" w:color="auto" w:fill="F3C345" w:themeFill="accent1"/>
      </w:tcPr>
    </w:tblStylePr>
    <w:tblStylePr w:type="band1Vert">
      <w:tblPr/>
      <w:tcPr>
        <w:tcBorders>
          <w:top w:val="single" w:sz="8" w:space="0" w:color="000000" w:themeColor="background1"/>
          <w:left w:val="single" w:sz="8" w:space="0" w:color="000000" w:themeColor="background1"/>
          <w:bottom w:val="single" w:sz="8" w:space="0" w:color="000000" w:themeColor="background1"/>
          <w:right w:val="single" w:sz="8" w:space="0" w:color="000000" w:themeColor="background1"/>
          <w:insideH w:val="none" w:sz="4" w:space="0" w:color="000000"/>
          <w:insideV w:val="none" w:sz="4" w:space="0" w:color="000000"/>
        </w:tcBorders>
        <w:shd w:val="clear" w:color="auto" w:fill="F9E0A2" w:themeFill="accent1" w:themeFillTint="7F"/>
      </w:tcPr>
    </w:tblStylePr>
    <w:tblStylePr w:type="band1Horz">
      <w:tblPr/>
      <w:tcPr>
        <w:tcBorders>
          <w:top w:val="single" w:sz="8" w:space="0" w:color="000000" w:themeColor="background1"/>
          <w:left w:val="single" w:sz="8" w:space="0" w:color="000000" w:themeColor="background1"/>
          <w:bottom w:val="single" w:sz="8" w:space="0" w:color="000000" w:themeColor="background1"/>
          <w:right w:val="single" w:sz="8" w:space="0" w:color="000000" w:themeColor="background1"/>
          <w:insideH w:val="single" w:sz="8" w:space="0" w:color="000000" w:themeColor="background1"/>
          <w:insideV w:val="single" w:sz="8" w:space="0" w:color="000000" w:themeColor="background1"/>
        </w:tcBorders>
        <w:shd w:val="clear" w:color="auto" w:fill="F9E0A2" w:themeFill="accent1" w:themeFillTint="7F"/>
      </w:tcPr>
    </w:tblStylePr>
  </w:style>
  <w:style w:type="table" w:styleId="Grillemoyenne3-Accent2">
    <w:name w:val="Medium Grid 3 Accent 2"/>
    <w:basedOn w:val="TableauNormal"/>
    <w:uiPriority w:val="69"/>
    <w:pPr>
      <w:spacing w:after="0" w:line="240" w:lineRule="auto"/>
    </w:pPr>
    <w:rPr>
      <w:lang w:eastAsia="fr-FR"/>
    </w:rPr>
    <w:tblPr>
      <w:tblStyleRowBandSize w:val="1"/>
      <w:tblStyleColBandSize w:val="1"/>
      <w:tblBorders>
        <w:top w:val="single" w:sz="8" w:space="0" w:color="000000" w:themeColor="background1"/>
        <w:left w:val="single" w:sz="8" w:space="0" w:color="000000" w:themeColor="background1"/>
        <w:bottom w:val="single" w:sz="8" w:space="0" w:color="000000" w:themeColor="background1"/>
        <w:right w:val="single" w:sz="8" w:space="0" w:color="000000" w:themeColor="background1"/>
        <w:insideH w:val="single" w:sz="6" w:space="0" w:color="000000" w:themeColor="background1"/>
        <w:insideV w:val="single" w:sz="6" w:space="0" w:color="000000" w:themeColor="background1"/>
      </w:tblBorders>
    </w:tblPr>
    <w:tcPr>
      <w:shd w:val="clear" w:color="auto" w:fill="FDF4E0" w:themeFill="accent2" w:themeFillTint="3F"/>
    </w:tcPr>
    <w:tblStylePr w:type="firstRow">
      <w:rPr>
        <w:b/>
        <w:bCs/>
        <w:i w:val="0"/>
        <w:iCs w:val="0"/>
        <w:color w:val="000000" w:themeColor="background1"/>
      </w:rPr>
      <w:tblPr/>
      <w:tcPr>
        <w:tcBorders>
          <w:top w:val="single" w:sz="8" w:space="0" w:color="000000" w:themeColor="background1"/>
          <w:left w:val="single" w:sz="8" w:space="0" w:color="000000" w:themeColor="background1"/>
          <w:bottom w:val="single" w:sz="24" w:space="0" w:color="000000" w:themeColor="background1"/>
          <w:right w:val="single" w:sz="8" w:space="0" w:color="000000" w:themeColor="background1"/>
          <w:insideH w:val="none" w:sz="4" w:space="0" w:color="000000"/>
          <w:insideV w:val="single" w:sz="8" w:space="0" w:color="000000" w:themeColor="background1"/>
        </w:tcBorders>
        <w:shd w:val="clear" w:color="auto" w:fill="F7D586" w:themeFill="accent2"/>
      </w:tcPr>
    </w:tblStylePr>
    <w:tblStylePr w:type="lastRow">
      <w:rPr>
        <w:b/>
        <w:bCs/>
        <w:i w:val="0"/>
        <w:iCs w:val="0"/>
        <w:color w:val="000000" w:themeColor="background1"/>
      </w:rPr>
      <w:tblPr/>
      <w:tcPr>
        <w:tcBorders>
          <w:top w:val="single" w:sz="24" w:space="0" w:color="000000" w:themeColor="background1"/>
          <w:left w:val="single" w:sz="8" w:space="0" w:color="000000" w:themeColor="background1"/>
          <w:bottom w:val="single" w:sz="8" w:space="0" w:color="000000" w:themeColor="background1"/>
          <w:right w:val="single" w:sz="8" w:space="0" w:color="000000" w:themeColor="background1"/>
          <w:insideH w:val="none" w:sz="4" w:space="0" w:color="000000"/>
          <w:insideV w:val="single" w:sz="8" w:space="0" w:color="000000" w:themeColor="background1"/>
        </w:tcBorders>
        <w:shd w:val="clear" w:color="auto" w:fill="F7D586" w:themeFill="accent2"/>
      </w:tcPr>
    </w:tblStylePr>
    <w:tblStylePr w:type="firstCol">
      <w:rPr>
        <w:b/>
        <w:bCs/>
        <w:i w:val="0"/>
        <w:iCs w:val="0"/>
        <w:color w:val="000000" w:themeColor="background1"/>
      </w:rPr>
      <w:tblPr/>
      <w:tcPr>
        <w:tcBorders>
          <w:left w:val="single" w:sz="8" w:space="0" w:color="000000" w:themeColor="background1"/>
          <w:right w:val="single" w:sz="24" w:space="0" w:color="000000" w:themeColor="background1"/>
          <w:insideH w:val="none" w:sz="4" w:space="0" w:color="000000"/>
          <w:insideV w:val="none" w:sz="4" w:space="0" w:color="000000"/>
        </w:tcBorders>
        <w:shd w:val="clear" w:color="auto" w:fill="F7D586" w:themeFill="accent2"/>
      </w:tcPr>
    </w:tblStylePr>
    <w:tblStylePr w:type="lastCol">
      <w:rPr>
        <w:b/>
        <w:bCs/>
        <w:i w:val="0"/>
        <w:iCs w:val="0"/>
        <w:color w:val="000000" w:themeColor="background1"/>
      </w:rPr>
      <w:tblPr/>
      <w:tcPr>
        <w:tcBorders>
          <w:top w:val="none" w:sz="4" w:space="0" w:color="000000"/>
          <w:left w:val="single" w:sz="24" w:space="0" w:color="000000" w:themeColor="background1"/>
          <w:bottom w:val="none" w:sz="4" w:space="0" w:color="000000"/>
          <w:right w:val="none" w:sz="4" w:space="0" w:color="000000"/>
          <w:insideH w:val="none" w:sz="4" w:space="0" w:color="000000"/>
          <w:insideV w:val="none" w:sz="4" w:space="0" w:color="000000"/>
        </w:tcBorders>
        <w:shd w:val="clear" w:color="auto" w:fill="F7D586" w:themeFill="accent2"/>
      </w:tcPr>
    </w:tblStylePr>
    <w:tblStylePr w:type="band1Vert">
      <w:tblPr/>
      <w:tcPr>
        <w:tcBorders>
          <w:top w:val="single" w:sz="8" w:space="0" w:color="000000" w:themeColor="background1"/>
          <w:left w:val="single" w:sz="8" w:space="0" w:color="000000" w:themeColor="background1"/>
          <w:bottom w:val="single" w:sz="8" w:space="0" w:color="000000" w:themeColor="background1"/>
          <w:right w:val="single" w:sz="8" w:space="0" w:color="000000" w:themeColor="background1"/>
          <w:insideH w:val="none" w:sz="4" w:space="0" w:color="000000"/>
          <w:insideV w:val="none" w:sz="4" w:space="0" w:color="000000"/>
        </w:tcBorders>
        <w:shd w:val="clear" w:color="auto" w:fill="FBEAC2" w:themeFill="accent2" w:themeFillTint="7F"/>
      </w:tcPr>
    </w:tblStylePr>
    <w:tblStylePr w:type="band1Horz">
      <w:tblPr/>
      <w:tcPr>
        <w:tcBorders>
          <w:top w:val="single" w:sz="8" w:space="0" w:color="000000" w:themeColor="background1"/>
          <w:left w:val="single" w:sz="8" w:space="0" w:color="000000" w:themeColor="background1"/>
          <w:bottom w:val="single" w:sz="8" w:space="0" w:color="000000" w:themeColor="background1"/>
          <w:right w:val="single" w:sz="8" w:space="0" w:color="000000" w:themeColor="background1"/>
          <w:insideH w:val="single" w:sz="8" w:space="0" w:color="000000" w:themeColor="background1"/>
          <w:insideV w:val="single" w:sz="8" w:space="0" w:color="000000" w:themeColor="background1"/>
        </w:tcBorders>
        <w:shd w:val="clear" w:color="auto" w:fill="FBEAC2" w:themeFill="accent2" w:themeFillTint="7F"/>
      </w:tcPr>
    </w:tblStylePr>
  </w:style>
  <w:style w:type="table" w:styleId="Listemoyenne2-Accent4">
    <w:name w:val="Medium List 2 Accent 4"/>
    <w:basedOn w:val="TableauNormal"/>
    <w:uiPriority w:val="66"/>
    <w:pPr>
      <w:spacing w:after="0" w:line="240" w:lineRule="auto"/>
    </w:pPr>
    <w:rPr>
      <w:rFonts w:asciiTheme="majorHAnsi" w:eastAsiaTheme="majorEastAsia" w:hAnsiTheme="majorHAnsi" w:cstheme="majorBidi"/>
      <w:color w:val="605C5B" w:themeColor="text1"/>
      <w:lang w:eastAsia="fr-FR"/>
    </w:rPr>
    <w:tblPr>
      <w:tblStyleRowBandSize w:val="1"/>
      <w:tblStyleColBandSize w:val="1"/>
      <w:tblBorders>
        <w:top w:val="single" w:sz="8" w:space="0" w:color="549626" w:themeColor="accent4"/>
        <w:left w:val="single" w:sz="8" w:space="0" w:color="549626" w:themeColor="accent4"/>
        <w:bottom w:val="single" w:sz="8" w:space="0" w:color="549626" w:themeColor="accent4"/>
        <w:right w:val="single" w:sz="8" w:space="0" w:color="549626" w:themeColor="accent4"/>
      </w:tblBorders>
    </w:tblPr>
    <w:tblStylePr w:type="firstRow">
      <w:rPr>
        <w:sz w:val="24"/>
        <w:szCs w:val="24"/>
      </w:rPr>
      <w:tblPr/>
      <w:tcPr>
        <w:tcBorders>
          <w:top w:val="none" w:sz="4" w:space="0" w:color="000000"/>
          <w:left w:val="none" w:sz="4" w:space="0" w:color="000000"/>
          <w:bottom w:val="single" w:sz="24" w:space="0" w:color="549626" w:themeColor="accent4"/>
          <w:right w:val="none" w:sz="4" w:space="0" w:color="000000"/>
          <w:insideH w:val="none" w:sz="4" w:space="0" w:color="000000"/>
          <w:insideV w:val="none" w:sz="4" w:space="0" w:color="000000"/>
        </w:tcBorders>
        <w:shd w:val="clear" w:color="auto" w:fill="000000" w:themeFill="background1"/>
      </w:tcPr>
    </w:tblStylePr>
    <w:tblStylePr w:type="lastRow">
      <w:tblPr/>
      <w:tcPr>
        <w:tcBorders>
          <w:top w:val="single" w:sz="8" w:space="0" w:color="549626" w:themeColor="accent4"/>
          <w:left w:val="none" w:sz="4" w:space="0" w:color="000000"/>
          <w:bottom w:val="none" w:sz="4" w:space="0" w:color="000000"/>
          <w:right w:val="none" w:sz="4" w:space="0" w:color="000000"/>
          <w:insideH w:val="none" w:sz="4" w:space="0" w:color="000000"/>
          <w:insideV w:val="none" w:sz="4" w:space="0" w:color="000000"/>
        </w:tcBorders>
        <w:shd w:val="clear" w:color="auto" w:fill="000000" w:themeFill="background1"/>
      </w:tcPr>
    </w:tblStylePr>
    <w:tblStylePr w:type="firstCol">
      <w:tblPr/>
      <w:tcPr>
        <w:tcBorders>
          <w:top w:val="none" w:sz="4" w:space="0" w:color="000000"/>
          <w:left w:val="none" w:sz="4" w:space="0" w:color="000000"/>
          <w:bottom w:val="none" w:sz="4" w:space="0" w:color="000000"/>
          <w:right w:val="single" w:sz="8" w:space="0" w:color="549626" w:themeColor="accent4"/>
          <w:insideH w:val="none" w:sz="4" w:space="0" w:color="000000"/>
          <w:insideV w:val="none" w:sz="4" w:space="0" w:color="000000"/>
        </w:tcBorders>
        <w:shd w:val="clear" w:color="auto" w:fill="000000" w:themeFill="background1"/>
      </w:tcPr>
    </w:tblStylePr>
    <w:tblStylePr w:type="lastCol">
      <w:tblPr/>
      <w:tcPr>
        <w:tcBorders>
          <w:top w:val="none" w:sz="4" w:space="0" w:color="000000"/>
          <w:left w:val="single" w:sz="8" w:space="0" w:color="549626" w:themeColor="accent4"/>
          <w:bottom w:val="none" w:sz="4" w:space="0" w:color="000000"/>
          <w:right w:val="none" w:sz="4" w:space="0" w:color="000000"/>
          <w:insideH w:val="none" w:sz="4" w:space="0" w:color="000000"/>
          <w:insideV w:val="none" w:sz="4" w:space="0" w:color="000000"/>
        </w:tcBorders>
        <w:shd w:val="clear" w:color="auto" w:fill="000000" w:themeFill="background1"/>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2EFBF" w:themeFill="accent4" w:themeFillTint="3F"/>
      </w:tcPr>
    </w:tblStylePr>
    <w:tblStylePr w:type="band1Horz">
      <w:tblPr/>
      <w:tcPr>
        <w:tcBorders>
          <w:top w:val="none" w:sz="4" w:space="0" w:color="000000"/>
          <w:bottom w:val="none" w:sz="4" w:space="0" w:color="000000"/>
          <w:insideH w:val="none" w:sz="4" w:space="0" w:color="000000"/>
          <w:insideV w:val="none" w:sz="4" w:space="0" w:color="000000"/>
        </w:tcBorders>
        <w:shd w:val="clear" w:color="auto" w:fill="D2EFBF" w:themeFill="accent4" w:themeFillTint="3F"/>
      </w:tcPr>
    </w:tblStylePr>
    <w:tblStylePr w:type="nwCell">
      <w:tblPr/>
      <w:tcPr>
        <w:shd w:val="clear" w:color="auto" w:fill="000000" w:themeFill="background1"/>
      </w:tcPr>
    </w:tblStylePr>
    <w:tblStylePr w:type="swCell">
      <w:tblPr/>
      <w:tcPr>
        <w:tcBorders>
          <w:top w:val="none" w:sz="4" w:space="0" w:color="000000"/>
        </w:tcBorders>
      </w:tcPr>
    </w:tblStylePr>
  </w:style>
  <w:style w:type="paragraph" w:customStyle="1" w:styleId="Sansinterligne1">
    <w:name w:val="Sans interligne1"/>
    <w:link w:val="NoSpacingChar"/>
    <w:pPr>
      <w:spacing w:before="40" w:after="40" w:line="240" w:lineRule="auto"/>
    </w:pPr>
    <w:rPr>
      <w:rFonts w:ascii="Calibri" w:eastAsia="Batang" w:hAnsi="Calibri" w:cs="Times New Roman"/>
      <w:sz w:val="20"/>
      <w:lang w:eastAsia="fr-FR"/>
    </w:rPr>
  </w:style>
  <w:style w:type="character" w:customStyle="1" w:styleId="NoSpacingChar">
    <w:name w:val="No Spacing Char"/>
    <w:link w:val="Sansinterligne1"/>
    <w:rPr>
      <w:rFonts w:ascii="Calibri" w:eastAsia="Batang" w:hAnsi="Calibri" w:cs="Times New Roman"/>
      <w:sz w:val="20"/>
      <w:lang w:eastAsia="fr-FR"/>
    </w:rPr>
  </w:style>
  <w:style w:type="table" w:customStyle="1" w:styleId="Grilledutableau5">
    <w:name w:val="Grille du tableau5"/>
    <w:basedOn w:val="Tableaucontemporain"/>
    <w:next w:val="Grilledutableau"/>
    <w:uiPriority w:val="59"/>
    <w:pPr>
      <w:spacing w:after="0" w:line="240" w:lineRule="auto"/>
      <w:jc w:val="center"/>
    </w:pPr>
    <w:rPr>
      <w:rFonts w:ascii="Arial" w:eastAsia="Times New Roman" w:hAnsi="Arial" w:cs="Times New Roman"/>
      <w:color w:val="F3C345"/>
      <w:sz w:val="20"/>
      <w:szCs w:val="20"/>
      <w:lang w:eastAsia="fr-FR"/>
    </w:rPr>
    <w:tblPr>
      <w:tblBorders>
        <w:top w:val="single" w:sz="4" w:space="0" w:color="605F61"/>
        <w:left w:val="single" w:sz="4" w:space="0" w:color="605F61"/>
        <w:bottom w:val="single" w:sz="4" w:space="0" w:color="605F61"/>
        <w:right w:val="single" w:sz="4" w:space="0" w:color="605F61"/>
        <w:insideH w:val="none" w:sz="0" w:space="0" w:color="000000"/>
        <w:insideV w:val="single" w:sz="4" w:space="0" w:color="605F61"/>
      </w:tblBorders>
    </w:tblPr>
    <w:tcPr>
      <w:shd w:val="clear" w:color="auto" w:fill="F3C345"/>
      <w:vAlign w:val="center"/>
    </w:tcPr>
    <w:tblStylePr w:type="firstRow">
      <w:rPr>
        <w:rFonts w:ascii="Arial" w:hAnsi="Arial"/>
        <w:b/>
        <w:bCs/>
        <w:color w:val="605F61"/>
      </w:rPr>
      <w:tblPr/>
      <w:tcPr>
        <w:shd w:val="clear" w:color="auto" w:fill="ECC847"/>
      </w:tcPr>
    </w:tblStylePr>
    <w:tblStylePr w:type="band1Horz">
      <w:rPr>
        <w:color w:val="auto"/>
      </w:rPr>
      <w:tblPr/>
      <w:tcPr>
        <w:shd w:val="clear" w:color="auto" w:fill="F2F2F2"/>
      </w:tcPr>
    </w:tblStylePr>
    <w:tblStylePr w:type="band2Horz">
      <w:rPr>
        <w:color w:val="auto"/>
      </w:rPr>
      <w:tblPr/>
      <w:tcPr>
        <w:shd w:val="clear" w:color="auto" w:fill="FFFFFF"/>
      </w:tcPr>
    </w:tblStylePr>
  </w:style>
  <w:style w:type="character" w:customStyle="1" w:styleId="Titre9Car">
    <w:name w:val="Titre 9 Car"/>
    <w:basedOn w:val="Policepardfaut"/>
    <w:link w:val="Titre9"/>
    <w:uiPriority w:val="9"/>
    <w:rPr>
      <w:rFonts w:asciiTheme="majorHAnsi" w:eastAsiaTheme="majorEastAsia" w:hAnsiTheme="majorHAnsi" w:cstheme="majorBidi"/>
      <w:i/>
      <w:iCs/>
      <w:color w:val="797473" w:themeColor="text1" w:themeTint="D8"/>
      <w:sz w:val="21"/>
      <w:szCs w:val="21"/>
      <w:lang w:eastAsia="fr-FR"/>
    </w:rPr>
  </w:style>
  <w:style w:type="table" w:customStyle="1" w:styleId="Tramemoyenne1-Accent111">
    <w:name w:val="Trame moyenne 1 - Accent 111"/>
    <w:basedOn w:val="TableauNormal"/>
    <w:next w:val="Tramemoyenne1-Accent1"/>
    <w:uiPriority w:val="63"/>
    <w:pPr>
      <w:spacing w:after="0" w:line="240" w:lineRule="auto"/>
    </w:pPr>
    <w:rPr>
      <w:rFonts w:ascii="Arial" w:hAnsi="Arial"/>
      <w:color w:val="605C5B" w:themeColor="text1"/>
      <w:sz w:val="20"/>
      <w:lang w:eastAsia="fr-FR"/>
    </w:rPr>
    <w:tblPr>
      <w:tblStyleRowBandSize w:val="1"/>
      <w:tblStyleColBandSize w:val="1"/>
      <w:tblBorders>
        <w:top w:val="single" w:sz="8" w:space="0" w:color="605C5B" w:themeColor="text1"/>
        <w:left w:val="single" w:sz="8" w:space="0" w:color="605C5B" w:themeColor="text1"/>
        <w:bottom w:val="single" w:sz="8" w:space="0" w:color="605C5B" w:themeColor="text1"/>
        <w:right w:val="single" w:sz="8" w:space="0" w:color="605C5B" w:themeColor="text1"/>
        <w:insideV w:val="single" w:sz="8" w:space="0" w:color="605C5B" w:themeColor="text1"/>
      </w:tblBorders>
    </w:tblPr>
    <w:tblStylePr w:type="firstRow">
      <w:pPr>
        <w:spacing w:before="0" w:beforeAutospacing="0" w:after="0" w:afterAutospacing="0" w:line="240" w:lineRule="auto"/>
        <w:jc w:val="center"/>
      </w:pPr>
      <w:rPr>
        <w:rFonts w:ascii="Arial" w:hAnsi="Arial"/>
        <w:b/>
        <w:bCs/>
        <w:color w:val="F7D586" w:themeColor="accent2"/>
        <w:sz w:val="20"/>
      </w:rPr>
      <w:tblPr/>
      <w:tcPr>
        <w:shd w:val="clear" w:color="auto" w:fill="F7D586" w:themeFill="accent2"/>
      </w:tcPr>
    </w:tblStylePr>
    <w:tblStylePr w:type="lastRow">
      <w:pPr>
        <w:spacing w:before="0" w:after="0" w:line="240" w:lineRule="auto"/>
      </w:pPr>
      <w:rPr>
        <w:b/>
        <w:bCs/>
      </w:rPr>
      <w:tblPr/>
      <w:tcPr>
        <w:tcBorders>
          <w:top w:val="single" w:sz="6" w:space="0" w:color="F6D173" w:themeColor="accent1" w:themeTint="BF"/>
          <w:left w:val="single" w:sz="8" w:space="0" w:color="F6D173" w:themeColor="accent1" w:themeTint="BF"/>
          <w:bottom w:val="single" w:sz="8" w:space="0" w:color="F6D173" w:themeColor="accent1" w:themeTint="BF"/>
          <w:right w:val="single" w:sz="8" w:space="0" w:color="F6D173" w:themeColor="accent1" w:themeTint="BF"/>
          <w:insideH w:val="none" w:sz="4" w:space="0" w:color="000000"/>
          <w:insideV w:val="none" w:sz="4" w:space="0" w:color="000000"/>
        </w:tcBorders>
      </w:tcPr>
    </w:tblStylePr>
    <w:tblStylePr w:type="firstCol">
      <w:rPr>
        <w:b w:val="0"/>
        <w:bCs/>
      </w:rPr>
    </w:tblStylePr>
    <w:tblStylePr w:type="lastCol">
      <w:rPr>
        <w:b/>
        <w:bCs/>
      </w:rPr>
    </w:tblStylePr>
    <w:tblStylePr w:type="band1Vert">
      <w:rPr>
        <w:rFonts w:ascii="Arial" w:hAnsi="Arial"/>
        <w:sz w:val="20"/>
      </w:rPr>
    </w:tblStylePr>
    <w:tblStylePr w:type="band2Vert">
      <w:pPr>
        <w:jc w:val="left"/>
      </w:pPr>
      <w:rPr>
        <w:rFonts w:ascii="Arial" w:hAnsi="Arial"/>
        <w:sz w:val="20"/>
      </w:rPr>
    </w:tblStylePr>
    <w:tblStylePr w:type="band1Horz">
      <w:rPr>
        <w:rFonts w:ascii="Arial" w:hAnsi="Arial"/>
        <w:sz w:val="20"/>
      </w:rPr>
    </w:tblStylePr>
    <w:tblStylePr w:type="band2Horz">
      <w:rPr>
        <w:rFonts w:ascii="Arial" w:hAnsi="Arial"/>
        <w:color w:val="605C5B" w:themeColor="text1"/>
        <w:sz w:val="20"/>
      </w:rPr>
      <w:tblPr/>
      <w:tcPr>
        <w:shd w:val="clear" w:color="auto" w:fill="FFF0D5" w:themeFill="accent3"/>
      </w:tcPr>
    </w:tblStylePr>
    <w:tblStylePr w:type="nwCell">
      <w:rPr>
        <w:rFonts w:ascii="Arial" w:hAnsi="Arial"/>
        <w:sz w:val="20"/>
      </w:rPr>
    </w:tblStylePr>
  </w:style>
  <w:style w:type="table" w:styleId="Tableausimple2">
    <w:name w:val="Plain Table 2"/>
    <w:basedOn w:val="TableauNormal"/>
    <w:uiPriority w:val="42"/>
    <w:pPr>
      <w:spacing w:after="0" w:line="240" w:lineRule="auto"/>
    </w:pPr>
    <w:tblPr>
      <w:tblStyleRowBandSize w:val="1"/>
      <w:tblStyleColBandSize w:val="1"/>
      <w:tblBorders>
        <w:top w:val="single" w:sz="4" w:space="0" w:color="B0ACAB" w:themeColor="text1" w:themeTint="80"/>
        <w:bottom w:val="single" w:sz="4" w:space="0" w:color="B0ACAB" w:themeColor="text1" w:themeTint="80"/>
      </w:tblBorders>
    </w:tblPr>
    <w:tblStylePr w:type="firstRow">
      <w:rPr>
        <w:b/>
        <w:bCs/>
      </w:rPr>
      <w:tblPr/>
      <w:tcPr>
        <w:tcBorders>
          <w:bottom w:val="single" w:sz="4" w:space="0" w:color="B0ACAB" w:themeColor="text1" w:themeTint="80"/>
        </w:tcBorders>
      </w:tcPr>
    </w:tblStylePr>
    <w:tblStylePr w:type="lastRow">
      <w:rPr>
        <w:b/>
        <w:bCs/>
      </w:rPr>
      <w:tblPr/>
      <w:tcPr>
        <w:tcBorders>
          <w:top w:val="single" w:sz="4" w:space="0" w:color="B0ACAB" w:themeColor="text1" w:themeTint="80"/>
        </w:tcBorders>
      </w:tcPr>
    </w:tblStylePr>
    <w:tblStylePr w:type="firstCol">
      <w:rPr>
        <w:b/>
        <w:bCs/>
      </w:rPr>
    </w:tblStylePr>
    <w:tblStylePr w:type="lastCol">
      <w:rPr>
        <w:b/>
        <w:bCs/>
      </w:rPr>
    </w:tblStylePr>
    <w:tblStylePr w:type="band1Vert">
      <w:tblPr/>
      <w:tcPr>
        <w:tcBorders>
          <w:left w:val="single" w:sz="4" w:space="0" w:color="B0ACAB" w:themeColor="text1" w:themeTint="80"/>
          <w:right w:val="single" w:sz="4" w:space="0" w:color="B0ACAB" w:themeColor="text1" w:themeTint="80"/>
        </w:tcBorders>
      </w:tcPr>
    </w:tblStylePr>
    <w:tblStylePr w:type="band2Vert">
      <w:tblPr/>
      <w:tcPr>
        <w:tcBorders>
          <w:left w:val="single" w:sz="4" w:space="0" w:color="B0ACAB" w:themeColor="text1" w:themeTint="80"/>
          <w:right w:val="single" w:sz="4" w:space="0" w:color="B0ACAB" w:themeColor="text1" w:themeTint="80"/>
        </w:tcBorders>
      </w:tcPr>
    </w:tblStylePr>
    <w:tblStylePr w:type="band1Horz">
      <w:tblPr/>
      <w:tcPr>
        <w:tcBorders>
          <w:top w:val="single" w:sz="4" w:space="0" w:color="B0ACAB" w:themeColor="text1" w:themeTint="80"/>
          <w:bottom w:val="single" w:sz="4" w:space="0" w:color="B0ACAB" w:themeColor="text1" w:themeTint="80"/>
        </w:tcBorders>
      </w:tcPr>
    </w:tblStylePr>
  </w:style>
  <w:style w:type="paragraph" w:customStyle="1" w:styleId="Titre1ALTEREA2018">
    <w:name w:val="Titre 1_ALTEREA 2018"/>
    <w:basedOn w:val="Normal"/>
    <w:link w:val="Titre1ALTEREA2018Car"/>
    <w:qFormat/>
    <w:pPr>
      <w:keepNext/>
      <w:keepLines/>
      <w:pageBreakBefore/>
      <w:numPr>
        <w:numId w:val="1"/>
      </w:numPr>
      <w:spacing w:before="240"/>
      <w:jc w:val="left"/>
      <w:outlineLvl w:val="0"/>
    </w:pPr>
    <w:rPr>
      <w:rFonts w:eastAsiaTheme="majorEastAsia" w:cs="Arial"/>
      <w:b/>
      <w:bCs/>
      <w:smallCaps/>
      <w:color w:val="auto"/>
      <w:sz w:val="30"/>
      <w:szCs w:val="30"/>
    </w:rPr>
  </w:style>
  <w:style w:type="paragraph" w:customStyle="1" w:styleId="Titre2ALTEREA2018">
    <w:name w:val="Titre 2_ALTEREA 2018"/>
    <w:basedOn w:val="Titre2"/>
    <w:link w:val="Titre2ALTEREA2018Car"/>
    <w:qFormat/>
    <w:rsid w:val="00C30AB9"/>
  </w:style>
  <w:style w:type="character" w:customStyle="1" w:styleId="Titre1ALTEREA2018Car">
    <w:name w:val="Titre 1_ALTEREA 2018 Car"/>
    <w:basedOn w:val="Policepardfaut"/>
    <w:link w:val="Titre1ALTEREA2018"/>
    <w:rPr>
      <w:rFonts w:ascii="Arial" w:eastAsiaTheme="majorEastAsia" w:hAnsi="Arial" w:cs="Arial"/>
      <w:b/>
      <w:bCs/>
      <w:smallCaps/>
      <w:sz w:val="30"/>
      <w:szCs w:val="30"/>
      <w:lang w:eastAsia="fr-FR"/>
    </w:rPr>
  </w:style>
  <w:style w:type="paragraph" w:customStyle="1" w:styleId="Titre3ALTEREA2018">
    <w:name w:val="Titre 3_ALTEREA 2018"/>
    <w:basedOn w:val="Normal"/>
    <w:link w:val="Titre3ALTEREA2018Car"/>
    <w:qFormat/>
    <w:pPr>
      <w:keepNext/>
      <w:keepLines/>
      <w:spacing w:before="260" w:after="200"/>
      <w:ind w:left="1004" w:hanging="720"/>
      <w:outlineLvl w:val="2"/>
    </w:pPr>
    <w:rPr>
      <w:rFonts w:eastAsiaTheme="majorEastAsia" w:cs="Arial"/>
      <w:bCs/>
      <w:color w:val="auto"/>
      <w:sz w:val="24"/>
      <w:szCs w:val="24"/>
    </w:rPr>
  </w:style>
  <w:style w:type="character" w:customStyle="1" w:styleId="Titre2ALTEREA2018Car">
    <w:name w:val="Titre 2_ALTEREA 2018 Car"/>
    <w:basedOn w:val="Policepardfaut"/>
    <w:link w:val="Titre2ALTEREA2018"/>
    <w:rsid w:val="00C30AB9"/>
    <w:rPr>
      <w:rFonts w:eastAsiaTheme="majorEastAsia" w:cstheme="majorBidi"/>
      <w:b/>
      <w:bCs/>
      <w:color w:val="605C5B" w:themeColor="text1"/>
      <w:kern w:val="2"/>
      <w:sz w:val="28"/>
      <w:szCs w:val="28"/>
      <w14:ligatures w14:val="standardContextual"/>
    </w:rPr>
  </w:style>
  <w:style w:type="paragraph" w:customStyle="1" w:styleId="Titre4ALTEREA2018">
    <w:name w:val="Titre 4_ALTEREA 2018"/>
    <w:basedOn w:val="Normal"/>
    <w:link w:val="Titre4ALTEREA2018Car"/>
    <w:qFormat/>
    <w:pPr>
      <w:keepNext/>
      <w:keepLines/>
      <w:numPr>
        <w:ilvl w:val="3"/>
        <w:numId w:val="1"/>
      </w:numPr>
      <w:spacing w:before="240"/>
      <w:outlineLvl w:val="3"/>
    </w:pPr>
    <w:rPr>
      <w:rFonts w:eastAsiaTheme="majorEastAsia" w:cs="Arial"/>
      <w:bCs/>
      <w:iCs/>
      <w:color w:val="605C5B" w:themeColor="text1"/>
      <w:sz w:val="22"/>
    </w:rPr>
  </w:style>
  <w:style w:type="character" w:customStyle="1" w:styleId="Titre3ALTEREA2018Car">
    <w:name w:val="Titre 3_ALTEREA 2018 Car"/>
    <w:basedOn w:val="Policepardfaut"/>
    <w:link w:val="Titre3ALTEREA2018"/>
    <w:rPr>
      <w:rFonts w:ascii="Arial" w:eastAsiaTheme="majorEastAsia" w:hAnsi="Arial" w:cs="Arial"/>
      <w:bCs/>
      <w:sz w:val="24"/>
      <w:szCs w:val="24"/>
      <w:lang w:eastAsia="fr-FR"/>
    </w:rPr>
  </w:style>
  <w:style w:type="paragraph" w:customStyle="1" w:styleId="Titre5ALTEREA2018">
    <w:name w:val="Titre 5_ALTEREA 2018"/>
    <w:basedOn w:val="Normal"/>
    <w:link w:val="Titre5ALTEREA2018Car"/>
    <w:qFormat/>
    <w:pPr>
      <w:keepNext/>
      <w:keepLines/>
      <w:numPr>
        <w:ilvl w:val="4"/>
        <w:numId w:val="1"/>
      </w:numPr>
      <w:spacing w:before="240"/>
      <w:outlineLvl w:val="4"/>
    </w:pPr>
    <w:rPr>
      <w:rFonts w:eastAsiaTheme="majorEastAsia" w:cs="Arial"/>
      <w:bCs/>
      <w:i/>
      <w:iCs/>
      <w:color w:val="605C5B" w:themeColor="text1"/>
      <w:szCs w:val="20"/>
    </w:rPr>
  </w:style>
  <w:style w:type="character" w:customStyle="1" w:styleId="Titre4ALTEREA2018Car">
    <w:name w:val="Titre 4_ALTEREA 2018 Car"/>
    <w:basedOn w:val="Policepardfaut"/>
    <w:link w:val="Titre4ALTEREA2018"/>
    <w:rPr>
      <w:rFonts w:ascii="Arial" w:eastAsiaTheme="majorEastAsia" w:hAnsi="Arial" w:cs="Arial"/>
      <w:bCs/>
      <w:iCs/>
      <w:color w:val="605C5B" w:themeColor="text1"/>
      <w:lang w:eastAsia="fr-FR"/>
    </w:rPr>
  </w:style>
  <w:style w:type="paragraph" w:customStyle="1" w:styleId="Titre6ALTEREA2018">
    <w:name w:val="Titre 6_ALTEREA 2018"/>
    <w:basedOn w:val="Normal"/>
    <w:next w:val="Normal"/>
    <w:link w:val="Titre6ALTEREA2018Car"/>
    <w:pPr>
      <w:keepNext/>
      <w:keepLines/>
      <w:numPr>
        <w:numId w:val="13"/>
      </w:numPr>
      <w:spacing w:before="240"/>
      <w:outlineLvl w:val="5"/>
    </w:pPr>
    <w:rPr>
      <w:rFonts w:eastAsiaTheme="majorEastAsia" w:cstheme="majorBidi"/>
      <w:i/>
      <w:iCs/>
      <w:color w:val="605C5B" w:themeColor="text1"/>
      <w:u w:val="single"/>
    </w:rPr>
  </w:style>
  <w:style w:type="character" w:customStyle="1" w:styleId="Titre5ALTEREA2018Car">
    <w:name w:val="Titre 5_ALTEREA 2018 Car"/>
    <w:basedOn w:val="Policepardfaut"/>
    <w:link w:val="Titre5ALTEREA2018"/>
    <w:rPr>
      <w:rFonts w:ascii="Arial" w:eastAsiaTheme="majorEastAsia" w:hAnsi="Arial" w:cs="Arial"/>
      <w:bCs/>
      <w:i/>
      <w:iCs/>
      <w:color w:val="605C5B" w:themeColor="text1"/>
      <w:sz w:val="20"/>
      <w:szCs w:val="20"/>
      <w:lang w:eastAsia="fr-FR"/>
    </w:rPr>
  </w:style>
  <w:style w:type="paragraph" w:customStyle="1" w:styleId="NormalALTEREA2018">
    <w:name w:val="Normal_ALTEREA 2018"/>
    <w:basedOn w:val="Normal"/>
    <w:link w:val="NormalALTEREA2018Car"/>
    <w:pPr>
      <w:spacing w:line="240" w:lineRule="auto"/>
    </w:pPr>
    <w:rPr>
      <w:rFonts w:cs="Arial"/>
      <w:szCs w:val="20"/>
    </w:rPr>
  </w:style>
  <w:style w:type="character" w:customStyle="1" w:styleId="Titre6ALTEREA2018Car">
    <w:name w:val="Titre 6_ALTEREA 2018 Car"/>
    <w:basedOn w:val="Policepardfaut"/>
    <w:link w:val="Titre6ALTEREA2018"/>
    <w:rPr>
      <w:rFonts w:ascii="Arial" w:eastAsiaTheme="majorEastAsia" w:hAnsi="Arial" w:cstheme="majorBidi"/>
      <w:i/>
      <w:iCs/>
      <w:color w:val="605C5B" w:themeColor="text1"/>
      <w:sz w:val="20"/>
      <w:u w:val="single"/>
      <w:lang w:eastAsia="fr-FR"/>
    </w:rPr>
  </w:style>
  <w:style w:type="character" w:customStyle="1" w:styleId="NormalALTEREA2018Car">
    <w:name w:val="Normal_ALTEREA 2018 Car"/>
    <w:basedOn w:val="Policepardfaut"/>
    <w:link w:val="NormalALTEREA2018"/>
    <w:rPr>
      <w:rFonts w:ascii="Arial" w:hAnsi="Arial" w:cs="Arial"/>
      <w:color w:val="000000" w:themeColor="background1"/>
      <w:sz w:val="20"/>
      <w:szCs w:val="20"/>
      <w:lang w:eastAsia="fr-FR"/>
    </w:rPr>
  </w:style>
  <w:style w:type="paragraph" w:customStyle="1" w:styleId="PG-Titredelamission">
    <w:name w:val="PG - Titre de la mission"/>
    <w:basedOn w:val="Normal"/>
    <w:pPr>
      <w:spacing w:before="120" w:line="240" w:lineRule="auto"/>
      <w:jc w:val="right"/>
    </w:pPr>
    <w:rPr>
      <w:rFonts w:cs="Arial"/>
      <w:b/>
      <w:color w:val="auto"/>
      <w:sz w:val="40"/>
      <w:szCs w:val="40"/>
    </w:rPr>
  </w:style>
  <w:style w:type="paragraph" w:customStyle="1" w:styleId="P2-Noms">
    <w:name w:val="P2 - Noms"/>
    <w:basedOn w:val="Normal"/>
    <w:pPr>
      <w:spacing w:line="240" w:lineRule="auto"/>
      <w:jc w:val="left"/>
    </w:pPr>
    <w:rPr>
      <w:rFonts w:ascii="Eurostile LT Pro" w:eastAsia="Calibri" w:hAnsi="Eurostile LT Pro" w:cs="Arial"/>
      <w:b/>
      <w:smallCaps/>
      <w:sz w:val="18"/>
      <w:szCs w:val="18"/>
    </w:rPr>
  </w:style>
  <w:style w:type="paragraph" w:customStyle="1" w:styleId="P2-InfosInterlocuteurs">
    <w:name w:val="P2 - Infos Interlocuteurs"/>
    <w:basedOn w:val="Normal"/>
    <w:pPr>
      <w:spacing w:line="240" w:lineRule="auto"/>
      <w:jc w:val="center"/>
    </w:pPr>
    <w:rPr>
      <w:rFonts w:cs="Arial"/>
      <w:sz w:val="18"/>
      <w:szCs w:val="18"/>
    </w:rPr>
  </w:style>
  <w:style w:type="paragraph" w:customStyle="1" w:styleId="PuceAALTEREA">
    <w:name w:val="Puce A_ALTEREA"/>
    <w:basedOn w:val="Normal"/>
    <w:link w:val="PuceAALTEREACar"/>
    <w:pPr>
      <w:numPr>
        <w:numId w:val="8"/>
      </w:numPr>
    </w:pPr>
  </w:style>
  <w:style w:type="paragraph" w:customStyle="1" w:styleId="PuceBALTEREA">
    <w:name w:val="Puce B_ALTEREA"/>
    <w:basedOn w:val="Normal"/>
    <w:link w:val="PuceBALTEREACar"/>
    <w:pPr>
      <w:numPr>
        <w:ilvl w:val="1"/>
        <w:numId w:val="9"/>
      </w:numPr>
    </w:pPr>
  </w:style>
  <w:style w:type="character" w:customStyle="1" w:styleId="PuceAALTEREACar">
    <w:name w:val="Puce A_ALTEREA Car"/>
    <w:basedOn w:val="Policepardfaut"/>
    <w:link w:val="PuceAALTEREA"/>
    <w:rPr>
      <w:rFonts w:ascii="Arial" w:hAnsi="Arial"/>
      <w:color w:val="000000" w:themeColor="background1"/>
      <w:sz w:val="20"/>
      <w:lang w:eastAsia="fr-FR"/>
    </w:rPr>
  </w:style>
  <w:style w:type="paragraph" w:customStyle="1" w:styleId="PuceCALTEREA">
    <w:name w:val="Puce C_ALTEREA"/>
    <w:basedOn w:val="Normal"/>
    <w:link w:val="PuceCALTEREACar"/>
    <w:pPr>
      <w:numPr>
        <w:ilvl w:val="2"/>
        <w:numId w:val="10"/>
      </w:numPr>
    </w:pPr>
  </w:style>
  <w:style w:type="character" w:customStyle="1" w:styleId="PuceBALTEREACar">
    <w:name w:val="Puce B_ALTEREA Car"/>
    <w:basedOn w:val="Policepardfaut"/>
    <w:link w:val="PuceBALTEREA"/>
    <w:rPr>
      <w:rFonts w:ascii="Arial" w:hAnsi="Arial"/>
      <w:color w:val="000000" w:themeColor="background1"/>
      <w:sz w:val="20"/>
      <w:lang w:eastAsia="fr-FR"/>
    </w:rPr>
  </w:style>
  <w:style w:type="character" w:customStyle="1" w:styleId="PuceCALTEREACar">
    <w:name w:val="Puce C_ALTEREA Car"/>
    <w:basedOn w:val="Policepardfaut"/>
    <w:link w:val="PuceCALTEREA"/>
    <w:rPr>
      <w:rFonts w:ascii="Arial" w:hAnsi="Arial"/>
      <w:color w:val="000000" w:themeColor="background1"/>
      <w:sz w:val="20"/>
      <w:lang w:eastAsia="fr-FR"/>
    </w:rPr>
  </w:style>
  <w:style w:type="paragraph" w:customStyle="1" w:styleId="PuceA">
    <w:name w:val="Puce A"/>
    <w:basedOn w:val="PuceAALTEREA"/>
    <w:link w:val="PuceACar"/>
    <w:qFormat/>
    <w:pPr>
      <w:numPr>
        <w:numId w:val="11"/>
      </w:numPr>
    </w:pPr>
  </w:style>
  <w:style w:type="paragraph" w:customStyle="1" w:styleId="PuceB">
    <w:name w:val="Puce B"/>
    <w:basedOn w:val="PuceAALTEREA"/>
    <w:link w:val="PuceBCar"/>
    <w:qFormat/>
    <w:pPr>
      <w:numPr>
        <w:ilvl w:val="1"/>
        <w:numId w:val="11"/>
      </w:numPr>
    </w:pPr>
  </w:style>
  <w:style w:type="character" w:customStyle="1" w:styleId="PuceACar">
    <w:name w:val="Puce A Car"/>
    <w:basedOn w:val="PuceAALTEREACar"/>
    <w:link w:val="PuceA"/>
    <w:rPr>
      <w:rFonts w:ascii="Arial" w:hAnsi="Arial"/>
      <w:color w:val="000000" w:themeColor="background1"/>
      <w:sz w:val="20"/>
      <w:lang w:eastAsia="fr-FR"/>
    </w:rPr>
  </w:style>
  <w:style w:type="paragraph" w:customStyle="1" w:styleId="PuceC">
    <w:name w:val="Puce C"/>
    <w:basedOn w:val="PuceAALTEREA"/>
    <w:link w:val="PuceCCar"/>
    <w:qFormat/>
    <w:pPr>
      <w:numPr>
        <w:ilvl w:val="2"/>
        <w:numId w:val="11"/>
      </w:numPr>
    </w:pPr>
  </w:style>
  <w:style w:type="character" w:customStyle="1" w:styleId="PuceBCar">
    <w:name w:val="Puce B Car"/>
    <w:basedOn w:val="PuceAALTEREACar"/>
    <w:link w:val="PuceB"/>
    <w:rPr>
      <w:rFonts w:ascii="Arial" w:hAnsi="Arial"/>
      <w:color w:val="000000" w:themeColor="background1"/>
      <w:sz w:val="20"/>
      <w:lang w:eastAsia="fr-FR"/>
    </w:rPr>
  </w:style>
  <w:style w:type="paragraph" w:customStyle="1" w:styleId="Localisation">
    <w:name w:val="Localisation"/>
    <w:basedOn w:val="Normal"/>
    <w:link w:val="LocalisationCar"/>
    <w:rPr>
      <w:u w:val="single"/>
    </w:rPr>
  </w:style>
  <w:style w:type="character" w:customStyle="1" w:styleId="PuceCCar">
    <w:name w:val="Puce C Car"/>
    <w:basedOn w:val="PuceAALTEREACar"/>
    <w:link w:val="PuceC"/>
    <w:rPr>
      <w:rFonts w:ascii="Arial" w:hAnsi="Arial"/>
      <w:color w:val="000000" w:themeColor="background1"/>
      <w:sz w:val="20"/>
      <w:lang w:eastAsia="fr-FR"/>
    </w:rPr>
  </w:style>
  <w:style w:type="character" w:customStyle="1" w:styleId="LocalisationCar">
    <w:name w:val="Localisation Car"/>
    <w:basedOn w:val="Policepardfaut"/>
    <w:link w:val="Localisation"/>
    <w:rPr>
      <w:rFonts w:ascii="Arial" w:hAnsi="Arial"/>
      <w:color w:val="000000" w:themeColor="background1"/>
      <w:sz w:val="20"/>
      <w:u w:val="single"/>
      <w:lang w:eastAsia="fr-FR"/>
    </w:rPr>
  </w:style>
  <w:style w:type="paragraph" w:customStyle="1" w:styleId="Sources">
    <w:name w:val="Sources"/>
    <w:basedOn w:val="Lgende"/>
    <w:link w:val="SourcesCar"/>
    <w:qFormat/>
    <w:pPr>
      <w:spacing w:before="0" w:after="120"/>
    </w:pPr>
    <w:rPr>
      <w:rFonts w:asciiTheme="minorHAnsi" w:hAnsiTheme="minorHAnsi"/>
      <w:b w:val="0"/>
      <w:color w:val="A29F9F" w:themeColor="background2"/>
      <w:lang w:eastAsia="en-US"/>
    </w:rPr>
  </w:style>
  <w:style w:type="character" w:customStyle="1" w:styleId="SourcesCar">
    <w:name w:val="Sources Car"/>
    <w:basedOn w:val="Policepardfaut"/>
    <w:link w:val="Sources"/>
    <w:rPr>
      <w:bCs/>
      <w:color w:val="A29F9F" w:themeColor="background2"/>
      <w:sz w:val="18"/>
      <w:szCs w:val="18"/>
    </w:rPr>
  </w:style>
  <w:style w:type="character" w:customStyle="1" w:styleId="LgendeCar">
    <w:name w:val="Légende Car"/>
    <w:basedOn w:val="Policepardfaut"/>
    <w:link w:val="Lgende"/>
    <w:uiPriority w:val="35"/>
    <w:rPr>
      <w:rFonts w:ascii="Arial" w:hAnsi="Arial"/>
      <w:b/>
      <w:bCs/>
      <w:color w:val="F3C345" w:themeColor="accent1"/>
      <w:sz w:val="18"/>
      <w:szCs w:val="18"/>
      <w:lang w:eastAsia="fr-FR"/>
    </w:rPr>
  </w:style>
  <w:style w:type="table" w:styleId="Trameclaire-Accent1">
    <w:name w:val="Light Shading Accent 1"/>
    <w:basedOn w:val="TableauNormal"/>
    <w:uiPriority w:val="60"/>
    <w:pPr>
      <w:spacing w:after="0" w:line="240" w:lineRule="auto"/>
    </w:pPr>
    <w:rPr>
      <w:color w:val="DBA20E" w:themeColor="accent1" w:themeShade="BF"/>
      <w:lang w:eastAsia="fr-FR"/>
    </w:rPr>
    <w:tblPr>
      <w:tblStyleRowBandSize w:val="1"/>
      <w:tblStyleColBandSize w:val="1"/>
      <w:tblBorders>
        <w:top w:val="single" w:sz="8" w:space="0" w:color="F3C345" w:themeColor="accent1"/>
        <w:bottom w:val="single" w:sz="8" w:space="0" w:color="F3C345" w:themeColor="accent1"/>
      </w:tblBorders>
    </w:tblPr>
    <w:tblStylePr w:type="firstRow">
      <w:pPr>
        <w:spacing w:before="0" w:after="0" w:line="240" w:lineRule="auto"/>
      </w:pPr>
      <w:rPr>
        <w:b/>
        <w:bCs/>
      </w:rPr>
      <w:tblPr/>
      <w:tcPr>
        <w:tcBorders>
          <w:top w:val="single" w:sz="8" w:space="0" w:color="F3C345" w:themeColor="accent1"/>
          <w:left w:val="none" w:sz="4" w:space="0" w:color="000000"/>
          <w:bottom w:val="single" w:sz="8" w:space="0" w:color="F3C345" w:themeColor="accent1"/>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F3C345" w:themeColor="accent1"/>
          <w:left w:val="none" w:sz="4" w:space="0" w:color="000000"/>
          <w:bottom w:val="single" w:sz="8" w:space="0" w:color="F3C345" w:themeColor="accent1"/>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FCF0D0" w:themeFill="accent1" w:themeFillTint="3F"/>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FCF0D0" w:themeFill="accent1" w:themeFillTint="3F"/>
      </w:tcPr>
    </w:tblStylePr>
  </w:style>
  <w:style w:type="table" w:styleId="TableauGrille5Fonc-Accentuation1">
    <w:name w:val="Grid Table 5 Dark Accent 1"/>
    <w:basedOn w:val="TableauNormal"/>
    <w:uiPriority w:val="50"/>
    <w:pPr>
      <w:spacing w:after="0" w:line="240" w:lineRule="auto"/>
    </w:pPr>
    <w:tblPr>
      <w:tblStyleRowBandSize w:val="1"/>
      <w:tblStyleColBandSize w:val="1"/>
      <w:tblBorders>
        <w:top w:val="single" w:sz="4" w:space="0" w:color="000000" w:themeColor="background1"/>
        <w:left w:val="single" w:sz="4" w:space="0" w:color="000000" w:themeColor="background1"/>
        <w:bottom w:val="single" w:sz="4" w:space="0" w:color="000000" w:themeColor="background1"/>
        <w:right w:val="single" w:sz="4" w:space="0" w:color="000000" w:themeColor="background1"/>
        <w:insideH w:val="single" w:sz="4" w:space="0" w:color="000000" w:themeColor="background1"/>
        <w:insideV w:val="single" w:sz="4" w:space="0" w:color="000000" w:themeColor="background1"/>
      </w:tblBorders>
    </w:tblPr>
    <w:tcPr>
      <w:shd w:val="clear" w:color="auto" w:fill="FCF2D9" w:themeFill="accent1" w:themeFillTint="33"/>
    </w:tcPr>
    <w:tblStylePr w:type="firstRow">
      <w:rPr>
        <w:b/>
        <w:bCs/>
        <w:color w:val="000000" w:themeColor="background1"/>
      </w:rPr>
      <w:tblPr/>
      <w:tcPr>
        <w:tcBorders>
          <w:top w:val="single" w:sz="4" w:space="0" w:color="000000" w:themeColor="background1"/>
          <w:left w:val="single" w:sz="4" w:space="0" w:color="000000" w:themeColor="background1"/>
          <w:right w:val="single" w:sz="4" w:space="0" w:color="000000" w:themeColor="background1"/>
          <w:insideH w:val="none" w:sz="4" w:space="0" w:color="000000"/>
          <w:insideV w:val="none" w:sz="4" w:space="0" w:color="000000"/>
        </w:tcBorders>
        <w:shd w:val="clear" w:color="auto" w:fill="F3C345" w:themeFill="accent1"/>
      </w:tcPr>
    </w:tblStylePr>
    <w:tblStylePr w:type="lastRow">
      <w:rPr>
        <w:b/>
        <w:bCs/>
        <w:color w:val="000000" w:themeColor="background1"/>
      </w:rPr>
      <w:tblPr/>
      <w:tcPr>
        <w:tcBorders>
          <w:left w:val="single" w:sz="4" w:space="0" w:color="000000" w:themeColor="background1"/>
          <w:bottom w:val="single" w:sz="4" w:space="0" w:color="000000" w:themeColor="background1"/>
          <w:right w:val="single" w:sz="4" w:space="0" w:color="000000" w:themeColor="background1"/>
          <w:insideH w:val="none" w:sz="4" w:space="0" w:color="000000"/>
          <w:insideV w:val="none" w:sz="4" w:space="0" w:color="000000"/>
        </w:tcBorders>
        <w:shd w:val="clear" w:color="auto" w:fill="F3C345" w:themeFill="accent1"/>
      </w:tcPr>
    </w:tblStylePr>
    <w:tblStylePr w:type="firstCol">
      <w:rPr>
        <w:b/>
        <w:bCs/>
        <w:color w:val="000000" w:themeColor="background1"/>
      </w:rPr>
      <w:tblPr/>
      <w:tcPr>
        <w:tcBorders>
          <w:top w:val="single" w:sz="4" w:space="0" w:color="000000" w:themeColor="background1"/>
          <w:left w:val="single" w:sz="4" w:space="0" w:color="000000" w:themeColor="background1"/>
          <w:bottom w:val="single" w:sz="4" w:space="0" w:color="000000" w:themeColor="background1"/>
          <w:insideV w:val="none" w:sz="4" w:space="0" w:color="000000"/>
        </w:tcBorders>
        <w:shd w:val="clear" w:color="auto" w:fill="F3C345" w:themeFill="accent1"/>
      </w:tcPr>
    </w:tblStylePr>
    <w:tblStylePr w:type="lastCol">
      <w:rPr>
        <w:b/>
        <w:bCs/>
        <w:color w:val="000000" w:themeColor="background1"/>
      </w:rPr>
      <w:tblPr/>
      <w:tcPr>
        <w:tcBorders>
          <w:top w:val="single" w:sz="4" w:space="0" w:color="000000" w:themeColor="background1"/>
          <w:bottom w:val="single" w:sz="4" w:space="0" w:color="000000" w:themeColor="background1"/>
          <w:right w:val="single" w:sz="4" w:space="0" w:color="000000" w:themeColor="background1"/>
          <w:insideV w:val="none" w:sz="4" w:space="0" w:color="000000"/>
        </w:tcBorders>
        <w:shd w:val="clear" w:color="auto" w:fill="F3C345" w:themeFill="accent1"/>
      </w:tcPr>
    </w:tblStylePr>
    <w:tblStylePr w:type="band1Vert">
      <w:tblPr/>
      <w:tcPr>
        <w:shd w:val="clear" w:color="auto" w:fill="FAE6B4" w:themeFill="accent1" w:themeFillTint="66"/>
      </w:tcPr>
    </w:tblStylePr>
    <w:tblStylePr w:type="band1Horz">
      <w:tblPr/>
      <w:tcPr>
        <w:shd w:val="clear" w:color="auto" w:fill="FAE6B4" w:themeFill="accent1" w:themeFillTint="66"/>
      </w:tcPr>
    </w:tblStylePr>
  </w:style>
  <w:style w:type="table" w:customStyle="1" w:styleId="Tableausimple21">
    <w:name w:val="Tableau simple 21"/>
    <w:basedOn w:val="TableauNormal"/>
    <w:next w:val="Tableausimple2"/>
    <w:uiPriority w:val="42"/>
    <w:pPr>
      <w:spacing w:after="0" w:line="240" w:lineRule="auto"/>
    </w:pPr>
    <w:tblPr>
      <w:tblStyleRowBandSize w:val="1"/>
      <w:tblStyleColBandSize w:val="1"/>
      <w:tblBorders>
        <w:top w:val="single" w:sz="4" w:space="0" w:color="B0ACAB"/>
        <w:bottom w:val="single" w:sz="4" w:space="0" w:color="B0ACAB"/>
      </w:tblBorders>
    </w:tblPr>
    <w:tblStylePr w:type="firstRow">
      <w:rPr>
        <w:b/>
        <w:bCs/>
      </w:rPr>
      <w:tblPr/>
      <w:tcPr>
        <w:tcBorders>
          <w:bottom w:val="single" w:sz="4" w:space="0" w:color="B0ACAB"/>
        </w:tcBorders>
      </w:tcPr>
    </w:tblStylePr>
    <w:tblStylePr w:type="lastRow">
      <w:rPr>
        <w:b/>
        <w:bCs/>
      </w:rPr>
      <w:tblPr/>
      <w:tcPr>
        <w:tcBorders>
          <w:top w:val="single" w:sz="4" w:space="0" w:color="B0ACAB"/>
        </w:tcBorders>
      </w:tcPr>
    </w:tblStylePr>
    <w:tblStylePr w:type="firstCol">
      <w:rPr>
        <w:b/>
        <w:bCs/>
      </w:rPr>
    </w:tblStylePr>
    <w:tblStylePr w:type="lastCol">
      <w:rPr>
        <w:b/>
        <w:bCs/>
      </w:rPr>
    </w:tblStylePr>
    <w:tblStylePr w:type="band1Vert">
      <w:tblPr/>
      <w:tcPr>
        <w:tcBorders>
          <w:left w:val="single" w:sz="4" w:space="0" w:color="B0ACAB"/>
          <w:right w:val="single" w:sz="4" w:space="0" w:color="B0ACAB"/>
        </w:tcBorders>
      </w:tcPr>
    </w:tblStylePr>
    <w:tblStylePr w:type="band2Vert">
      <w:tblPr/>
      <w:tcPr>
        <w:tcBorders>
          <w:left w:val="single" w:sz="4" w:space="0" w:color="B0ACAB"/>
          <w:right w:val="single" w:sz="4" w:space="0" w:color="B0ACAB"/>
        </w:tcBorders>
      </w:tcPr>
    </w:tblStylePr>
    <w:tblStylePr w:type="band1Horz">
      <w:tblPr/>
      <w:tcPr>
        <w:tcBorders>
          <w:top w:val="single" w:sz="4" w:space="0" w:color="B0ACAB"/>
          <w:bottom w:val="single" w:sz="4" w:space="0" w:color="B0ACAB"/>
        </w:tcBorders>
      </w:tcPr>
    </w:tblStylePr>
  </w:style>
  <w:style w:type="table" w:customStyle="1" w:styleId="Tableausimple22">
    <w:name w:val="Tableau simple 22"/>
    <w:basedOn w:val="TableauNormal"/>
    <w:next w:val="Tableausimple2"/>
    <w:uiPriority w:val="42"/>
    <w:pPr>
      <w:spacing w:after="0" w:line="240" w:lineRule="auto"/>
    </w:pPr>
    <w:tblPr>
      <w:tblStyleRowBandSize w:val="1"/>
      <w:tblStyleColBandSize w:val="1"/>
      <w:tblBorders>
        <w:top w:val="single" w:sz="4" w:space="0" w:color="B0ACAB"/>
        <w:bottom w:val="single" w:sz="4" w:space="0" w:color="B0ACAB"/>
      </w:tblBorders>
    </w:tblPr>
    <w:tblStylePr w:type="firstRow">
      <w:rPr>
        <w:b/>
        <w:bCs/>
      </w:rPr>
      <w:tblPr/>
      <w:tcPr>
        <w:tcBorders>
          <w:bottom w:val="single" w:sz="4" w:space="0" w:color="B0ACAB"/>
        </w:tcBorders>
      </w:tcPr>
    </w:tblStylePr>
    <w:tblStylePr w:type="lastRow">
      <w:rPr>
        <w:b/>
        <w:bCs/>
      </w:rPr>
      <w:tblPr/>
      <w:tcPr>
        <w:tcBorders>
          <w:top w:val="single" w:sz="4" w:space="0" w:color="B0ACAB"/>
        </w:tcBorders>
      </w:tcPr>
    </w:tblStylePr>
    <w:tblStylePr w:type="firstCol">
      <w:rPr>
        <w:b/>
        <w:bCs/>
      </w:rPr>
    </w:tblStylePr>
    <w:tblStylePr w:type="lastCol">
      <w:rPr>
        <w:b/>
        <w:bCs/>
      </w:rPr>
    </w:tblStylePr>
    <w:tblStylePr w:type="band1Vert">
      <w:tblPr/>
      <w:tcPr>
        <w:tcBorders>
          <w:left w:val="single" w:sz="4" w:space="0" w:color="B0ACAB"/>
          <w:right w:val="single" w:sz="4" w:space="0" w:color="B0ACAB"/>
        </w:tcBorders>
      </w:tcPr>
    </w:tblStylePr>
    <w:tblStylePr w:type="band2Vert">
      <w:tblPr/>
      <w:tcPr>
        <w:tcBorders>
          <w:left w:val="single" w:sz="4" w:space="0" w:color="B0ACAB"/>
          <w:right w:val="single" w:sz="4" w:space="0" w:color="B0ACAB"/>
        </w:tcBorders>
      </w:tcPr>
    </w:tblStylePr>
    <w:tblStylePr w:type="band1Horz">
      <w:tblPr/>
      <w:tcPr>
        <w:tcBorders>
          <w:top w:val="single" w:sz="4" w:space="0" w:color="B0ACAB"/>
          <w:bottom w:val="single" w:sz="4" w:space="0" w:color="B0ACAB"/>
        </w:tcBorders>
      </w:tcPr>
    </w:tblStylePr>
  </w:style>
  <w:style w:type="paragraph" w:styleId="Tabledesillustrations">
    <w:name w:val="table of figures"/>
    <w:basedOn w:val="Normal"/>
    <w:next w:val="Normal"/>
    <w:uiPriority w:val="99"/>
    <w:unhideWhenUsed/>
    <w:pPr>
      <w:spacing w:after="0"/>
    </w:pPr>
  </w:style>
  <w:style w:type="character" w:customStyle="1" w:styleId="Mentionnonrsolue1">
    <w:name w:val="Mention non résolue1"/>
    <w:basedOn w:val="Policepardfaut"/>
    <w:uiPriority w:val="99"/>
    <w:semiHidden/>
    <w:unhideWhenUsed/>
    <w:rPr>
      <w:color w:val="605E5C"/>
      <w:shd w:val="clear" w:color="auto" w:fill="E1DFDD"/>
    </w:rPr>
  </w:style>
  <w:style w:type="table" w:customStyle="1" w:styleId="TableauGrille5Fonc-Accentuation11">
    <w:name w:val="Tableau Grille 5 Foncé - Accentuation 11"/>
    <w:basedOn w:val="TableauNormal"/>
    <w:next w:val="TableauGrille5Fonc-Accentuation1"/>
    <w:uiPriority w:val="50"/>
    <w:pPr>
      <w:spacing w:after="0" w:line="240" w:lineRule="auto"/>
    </w:pPr>
    <w:tblPr>
      <w:tblStyleRowBandSize w:val="1"/>
      <w:tblStyleColBandSize w:val="1"/>
      <w:tblBorders>
        <w:top w:val="single" w:sz="4" w:space="0" w:color="000000" w:themeColor="background1"/>
        <w:left w:val="single" w:sz="4" w:space="0" w:color="000000" w:themeColor="background1"/>
        <w:bottom w:val="single" w:sz="4" w:space="0" w:color="000000" w:themeColor="background1"/>
        <w:right w:val="single" w:sz="4" w:space="0" w:color="000000" w:themeColor="background1"/>
        <w:insideH w:val="single" w:sz="4" w:space="0" w:color="000000" w:themeColor="background1"/>
        <w:insideV w:val="single" w:sz="4" w:space="0" w:color="000000" w:themeColor="background1"/>
      </w:tblBorders>
    </w:tblPr>
    <w:tcPr>
      <w:shd w:val="clear" w:color="auto" w:fill="FCF2D9" w:themeFill="accent1" w:themeFillTint="33"/>
    </w:tcPr>
    <w:tblStylePr w:type="firstRow">
      <w:rPr>
        <w:b/>
        <w:bCs/>
        <w:color w:val="000000" w:themeColor="background1"/>
      </w:rPr>
      <w:tblPr/>
      <w:tcPr>
        <w:tcBorders>
          <w:top w:val="single" w:sz="4" w:space="0" w:color="000000" w:themeColor="background1"/>
          <w:left w:val="single" w:sz="4" w:space="0" w:color="000000" w:themeColor="background1"/>
          <w:right w:val="single" w:sz="4" w:space="0" w:color="000000" w:themeColor="background1"/>
          <w:insideH w:val="none" w:sz="4" w:space="0" w:color="000000"/>
          <w:insideV w:val="none" w:sz="4" w:space="0" w:color="000000"/>
        </w:tcBorders>
        <w:shd w:val="clear" w:color="auto" w:fill="F3C345" w:themeFill="accent1"/>
      </w:tcPr>
    </w:tblStylePr>
    <w:tblStylePr w:type="lastRow">
      <w:rPr>
        <w:b/>
        <w:bCs/>
        <w:color w:val="000000" w:themeColor="background1"/>
      </w:rPr>
      <w:tblPr/>
      <w:tcPr>
        <w:tcBorders>
          <w:left w:val="single" w:sz="4" w:space="0" w:color="000000" w:themeColor="background1"/>
          <w:bottom w:val="single" w:sz="4" w:space="0" w:color="000000" w:themeColor="background1"/>
          <w:right w:val="single" w:sz="4" w:space="0" w:color="000000" w:themeColor="background1"/>
          <w:insideH w:val="none" w:sz="4" w:space="0" w:color="000000"/>
          <w:insideV w:val="none" w:sz="4" w:space="0" w:color="000000"/>
        </w:tcBorders>
        <w:shd w:val="clear" w:color="auto" w:fill="F3C345" w:themeFill="accent1"/>
      </w:tcPr>
    </w:tblStylePr>
    <w:tblStylePr w:type="firstCol">
      <w:rPr>
        <w:b/>
        <w:bCs/>
        <w:color w:val="000000" w:themeColor="background1"/>
      </w:rPr>
      <w:tblPr/>
      <w:tcPr>
        <w:tcBorders>
          <w:top w:val="single" w:sz="4" w:space="0" w:color="000000" w:themeColor="background1"/>
          <w:left w:val="single" w:sz="4" w:space="0" w:color="000000" w:themeColor="background1"/>
          <w:bottom w:val="single" w:sz="4" w:space="0" w:color="000000" w:themeColor="background1"/>
          <w:insideV w:val="none" w:sz="4" w:space="0" w:color="000000"/>
        </w:tcBorders>
        <w:shd w:val="clear" w:color="auto" w:fill="F3C345" w:themeFill="accent1"/>
      </w:tcPr>
    </w:tblStylePr>
    <w:tblStylePr w:type="lastCol">
      <w:rPr>
        <w:b/>
        <w:bCs/>
        <w:color w:val="000000" w:themeColor="background1"/>
      </w:rPr>
      <w:tblPr/>
      <w:tcPr>
        <w:tcBorders>
          <w:top w:val="single" w:sz="4" w:space="0" w:color="000000" w:themeColor="background1"/>
          <w:bottom w:val="single" w:sz="4" w:space="0" w:color="000000" w:themeColor="background1"/>
          <w:right w:val="single" w:sz="4" w:space="0" w:color="000000" w:themeColor="background1"/>
          <w:insideV w:val="none" w:sz="4" w:space="0" w:color="000000"/>
        </w:tcBorders>
        <w:shd w:val="clear" w:color="auto" w:fill="F3C345" w:themeFill="accent1"/>
      </w:tcPr>
    </w:tblStylePr>
    <w:tblStylePr w:type="band1Vert">
      <w:tblPr/>
      <w:tcPr>
        <w:shd w:val="clear" w:color="auto" w:fill="FAE6B4" w:themeFill="accent1" w:themeFillTint="66"/>
      </w:tcPr>
    </w:tblStylePr>
    <w:tblStylePr w:type="band1Horz">
      <w:tblPr/>
      <w:tcPr>
        <w:shd w:val="clear" w:color="auto" w:fill="FAE6B4" w:themeFill="accent1" w:themeFillTint="66"/>
      </w:tcPr>
    </w:tblStylePr>
  </w:style>
  <w:style w:type="paragraph" w:customStyle="1" w:styleId="AUTRES">
    <w:name w:val="AUTRES"/>
    <w:basedOn w:val="Normal"/>
    <w:link w:val="AUTRESCar"/>
    <w:qFormat/>
    <w:pPr>
      <w:spacing w:before="120"/>
      <w:ind w:left="1985"/>
      <w:jc w:val="left"/>
    </w:pPr>
    <w:rPr>
      <w:rFonts w:asciiTheme="minorHAnsi" w:hAnsiTheme="minorHAnsi"/>
      <w:b/>
      <w:color w:val="auto"/>
      <w:sz w:val="18"/>
      <w:lang w:eastAsia="en-US"/>
    </w:rPr>
  </w:style>
  <w:style w:type="character" w:customStyle="1" w:styleId="AUTRESCar">
    <w:name w:val="AUTRES Car"/>
    <w:basedOn w:val="Policepardfaut"/>
    <w:link w:val="AUTRES"/>
    <w:rPr>
      <w:b/>
      <w:sz w:val="18"/>
    </w:rPr>
  </w:style>
  <w:style w:type="paragraph" w:customStyle="1" w:styleId="SGBDS-Lgende">
    <w:name w:val="SGBDS - Légende"/>
    <w:basedOn w:val="Lgende"/>
    <w:link w:val="SGBDS-LgendeCar"/>
    <w:qFormat/>
  </w:style>
  <w:style w:type="paragraph" w:customStyle="1" w:styleId="SGBDS-Normal">
    <w:name w:val="SGBDS - Normal"/>
    <w:basedOn w:val="Normal"/>
    <w:link w:val="SGBDS-NormalCar"/>
    <w:qFormat/>
    <w:rsid w:val="00CC22B1"/>
    <w:rPr>
      <w:sz w:val="24"/>
    </w:rPr>
  </w:style>
  <w:style w:type="character" w:customStyle="1" w:styleId="SGBDS-LgendeCar">
    <w:name w:val="SGBDS - Légende Car"/>
    <w:basedOn w:val="LgendeCar"/>
    <w:link w:val="SGBDS-Lgende"/>
    <w:rPr>
      <w:rFonts w:ascii="Arial" w:hAnsi="Arial"/>
      <w:b/>
      <w:bCs/>
      <w:color w:val="F3C345" w:themeColor="accent1"/>
      <w:sz w:val="18"/>
      <w:szCs w:val="18"/>
      <w:lang w:eastAsia="fr-FR"/>
    </w:rPr>
  </w:style>
  <w:style w:type="paragraph" w:customStyle="1" w:styleId="SGBDS-Titre1">
    <w:name w:val="SGBDS - Titre 1"/>
    <w:basedOn w:val="Titre1ALTEREA2018"/>
    <w:link w:val="SGBDS-Titre1Car"/>
    <w:qFormat/>
    <w:rsid w:val="00DC099E"/>
    <w:pPr>
      <w:spacing w:before="0"/>
      <w:ind w:left="357" w:hanging="357"/>
    </w:pPr>
    <w:rPr>
      <w:rFonts w:ascii="Arial Gras" w:hAnsi="Arial Gras" w:cstheme="majorBidi"/>
      <w:caps/>
      <w:smallCaps w:val="0"/>
      <w:color w:val="605C5B"/>
      <w:kern w:val="2"/>
      <w:lang w:eastAsia="en-US"/>
      <w14:ligatures w14:val="standardContextual"/>
    </w:rPr>
  </w:style>
  <w:style w:type="character" w:customStyle="1" w:styleId="SGBDS-NormalCar">
    <w:name w:val="SGBDS - Normal Car"/>
    <w:basedOn w:val="Policepardfaut"/>
    <w:link w:val="SGBDS-Normal"/>
    <w:rsid w:val="00CC22B1"/>
    <w:rPr>
      <w:rFonts w:ascii="Arial" w:hAnsi="Arial"/>
      <w:color w:val="000000" w:themeColor="background1"/>
      <w:sz w:val="24"/>
      <w:lang w:eastAsia="fr-FR"/>
    </w:rPr>
  </w:style>
  <w:style w:type="paragraph" w:customStyle="1" w:styleId="SGBDS-Titre2">
    <w:name w:val="SGBDS - Titre 2"/>
    <w:basedOn w:val="Titre2ALTEREA2018"/>
    <w:link w:val="SGBDS-Titre2Car"/>
    <w:qFormat/>
    <w:pPr>
      <w:spacing w:before="120"/>
      <w:ind w:left="578" w:hanging="578"/>
    </w:pPr>
    <w:rPr>
      <w:b w:val="0"/>
      <w:bCs w:val="0"/>
    </w:rPr>
  </w:style>
  <w:style w:type="character" w:customStyle="1" w:styleId="SGBDS-Titre1Car">
    <w:name w:val="SGBDS - Titre 1 Car"/>
    <w:basedOn w:val="Titre1ALTEREA2018Car"/>
    <w:link w:val="SGBDS-Titre1"/>
    <w:rsid w:val="00DC099E"/>
    <w:rPr>
      <w:rFonts w:ascii="Arial Gras" w:eastAsiaTheme="majorEastAsia" w:hAnsi="Arial Gras" w:cstheme="majorBidi"/>
      <w:b/>
      <w:bCs/>
      <w:caps/>
      <w:smallCaps w:val="0"/>
      <w:color w:val="605C5B"/>
      <w:kern w:val="2"/>
      <w:sz w:val="30"/>
      <w:szCs w:val="30"/>
      <w:lang w:eastAsia="fr-FR"/>
      <w14:ligatures w14:val="standardContextual"/>
    </w:rPr>
  </w:style>
  <w:style w:type="paragraph" w:customStyle="1" w:styleId="SGBDS-Titre3">
    <w:name w:val="SGBDS - Titre 3"/>
    <w:basedOn w:val="Titre3ALTEREA2018"/>
    <w:link w:val="SGBDS-Titre3Car"/>
    <w:qFormat/>
    <w:pPr>
      <w:jc w:val="left"/>
    </w:pPr>
    <w:rPr>
      <w:b/>
      <w:bCs w:val="0"/>
    </w:rPr>
  </w:style>
  <w:style w:type="character" w:customStyle="1" w:styleId="SGBDS-Titre2Car">
    <w:name w:val="SGBDS - Titre 2 Car"/>
    <w:basedOn w:val="Titre2ALTEREA2018Car"/>
    <w:link w:val="SGBDS-Titre2"/>
    <w:rPr>
      <w:rFonts w:ascii="Arial" w:eastAsiaTheme="majorEastAsia" w:hAnsi="Arial" w:cs="Arial"/>
      <w:b w:val="0"/>
      <w:bCs w:val="0"/>
      <w:color w:val="605C5B" w:themeColor="text1"/>
      <w:kern w:val="2"/>
      <w:sz w:val="28"/>
      <w:szCs w:val="28"/>
      <w:lang w:eastAsia="fr-FR"/>
      <w14:ligatures w14:val="standardContextual"/>
    </w:rPr>
  </w:style>
  <w:style w:type="paragraph" w:customStyle="1" w:styleId="SGBDS-Titre4">
    <w:name w:val="SGBDS - Titre 4"/>
    <w:basedOn w:val="Titre4ALTEREA2018"/>
    <w:link w:val="SGBDS-Titre4Car"/>
    <w:qFormat/>
    <w:pPr>
      <w:jc w:val="left"/>
    </w:pPr>
    <w:rPr>
      <w:i/>
      <w:iCs w:val="0"/>
    </w:rPr>
  </w:style>
  <w:style w:type="character" w:customStyle="1" w:styleId="SGBDS-Titre3Car">
    <w:name w:val="SGBDS - Titre 3 Car"/>
    <w:basedOn w:val="Titre3ALTEREA2018Car"/>
    <w:link w:val="SGBDS-Titre3"/>
    <w:rPr>
      <w:rFonts w:ascii="Arial" w:eastAsiaTheme="majorEastAsia" w:hAnsi="Arial" w:cs="Arial"/>
      <w:b/>
      <w:bCs w:val="0"/>
      <w:sz w:val="24"/>
      <w:szCs w:val="24"/>
      <w:lang w:eastAsia="fr-FR"/>
    </w:rPr>
  </w:style>
  <w:style w:type="paragraph" w:customStyle="1" w:styleId="SGBDS-Sources">
    <w:name w:val="SGBDS - Sources"/>
    <w:basedOn w:val="Sources"/>
    <w:link w:val="SGBDS-SourcesCar"/>
    <w:qFormat/>
  </w:style>
  <w:style w:type="character" w:customStyle="1" w:styleId="SGBDS-Titre4Car">
    <w:name w:val="SGBDS - Titre 4 Car"/>
    <w:basedOn w:val="Titre4ALTEREA2018Car"/>
    <w:link w:val="SGBDS-Titre4"/>
    <w:rPr>
      <w:rFonts w:ascii="Arial" w:eastAsiaTheme="majorEastAsia" w:hAnsi="Arial" w:cs="Arial"/>
      <w:bCs/>
      <w:i/>
      <w:iCs w:val="0"/>
      <w:color w:val="605C5B" w:themeColor="text1"/>
      <w:lang w:eastAsia="fr-FR"/>
    </w:rPr>
  </w:style>
  <w:style w:type="paragraph" w:customStyle="1" w:styleId="X1">
    <w:name w:val="X1"/>
    <w:basedOn w:val="AUTRES"/>
    <w:link w:val="X1Car"/>
    <w:qFormat/>
    <w:pPr>
      <w:ind w:left="1418"/>
    </w:pPr>
    <w:rPr>
      <w:sz w:val="32"/>
      <w:szCs w:val="52"/>
    </w:rPr>
  </w:style>
  <w:style w:type="character" w:customStyle="1" w:styleId="SGBDS-SourcesCar">
    <w:name w:val="SGBDS - Sources Car"/>
    <w:basedOn w:val="SourcesCar"/>
    <w:link w:val="SGBDS-Sources"/>
    <w:rPr>
      <w:bCs/>
      <w:color w:val="A29F9F" w:themeColor="background2"/>
      <w:sz w:val="18"/>
      <w:szCs w:val="18"/>
    </w:rPr>
  </w:style>
  <w:style w:type="paragraph" w:customStyle="1" w:styleId="X2">
    <w:name w:val="X2"/>
    <w:basedOn w:val="SGBDS-Normal"/>
    <w:link w:val="X2Car"/>
    <w:qFormat/>
    <w:pPr>
      <w:jc w:val="right"/>
    </w:pPr>
    <w:rPr>
      <w:sz w:val="56"/>
      <w:szCs w:val="72"/>
    </w:rPr>
  </w:style>
  <w:style w:type="character" w:customStyle="1" w:styleId="X1Car">
    <w:name w:val="X1 Car"/>
    <w:basedOn w:val="AUTRESCar"/>
    <w:link w:val="X1"/>
    <w:rPr>
      <w:b/>
      <w:sz w:val="32"/>
      <w:szCs w:val="52"/>
    </w:rPr>
  </w:style>
  <w:style w:type="paragraph" w:customStyle="1" w:styleId="X3">
    <w:name w:val="X3"/>
    <w:basedOn w:val="X1"/>
    <w:link w:val="X3Car"/>
    <w:qFormat/>
    <w:pPr>
      <w:ind w:left="2835"/>
      <w:jc w:val="right"/>
    </w:pPr>
  </w:style>
  <w:style w:type="character" w:customStyle="1" w:styleId="X2Car">
    <w:name w:val="X2 Car"/>
    <w:basedOn w:val="SGBDS-NormalCar"/>
    <w:link w:val="X2"/>
    <w:rPr>
      <w:rFonts w:ascii="Arial" w:hAnsi="Arial"/>
      <w:color w:val="000000" w:themeColor="background1"/>
      <w:sz w:val="56"/>
      <w:szCs w:val="72"/>
      <w:lang w:eastAsia="fr-FR"/>
    </w:rPr>
  </w:style>
  <w:style w:type="paragraph" w:customStyle="1" w:styleId="X4">
    <w:name w:val="X4"/>
    <w:basedOn w:val="AUTRES"/>
    <w:link w:val="X4Car"/>
    <w:qFormat/>
    <w:pPr>
      <w:ind w:left="0"/>
    </w:pPr>
    <w:rPr>
      <w:rFonts w:asciiTheme="majorHAnsi" w:hAnsiTheme="majorHAnsi" w:cstheme="majorHAnsi"/>
      <w:sz w:val="22"/>
      <w:lang w:eastAsia="fr-FR"/>
    </w:rPr>
  </w:style>
  <w:style w:type="character" w:customStyle="1" w:styleId="X3Car">
    <w:name w:val="X3 Car"/>
    <w:basedOn w:val="X1Car"/>
    <w:link w:val="X3"/>
    <w:rPr>
      <w:b/>
      <w:sz w:val="32"/>
      <w:szCs w:val="52"/>
    </w:rPr>
  </w:style>
  <w:style w:type="paragraph" w:customStyle="1" w:styleId="Dfinition-titre">
    <w:name w:val="Définition-titre"/>
    <w:basedOn w:val="Normal"/>
    <w:link w:val="Dfinition-titreCar"/>
    <w:qFormat/>
    <w:pPr>
      <w:spacing w:before="360" w:line="240" w:lineRule="auto"/>
      <w:ind w:left="284" w:right="283"/>
    </w:pPr>
    <w:rPr>
      <w:rFonts w:asciiTheme="minorHAnsi" w:hAnsiTheme="minorHAnsi" w:cs="Arial"/>
      <w:b/>
      <w:bCs/>
      <w:color w:val="F3C345"/>
      <w:sz w:val="22"/>
      <w:lang w:eastAsia="en-US"/>
    </w:rPr>
  </w:style>
  <w:style w:type="character" w:customStyle="1" w:styleId="X4Car">
    <w:name w:val="X4 Car"/>
    <w:basedOn w:val="AUTRESCar"/>
    <w:link w:val="X4"/>
    <w:rPr>
      <w:rFonts w:asciiTheme="majorHAnsi" w:hAnsiTheme="majorHAnsi" w:cstheme="majorHAnsi"/>
      <w:b/>
      <w:sz w:val="18"/>
      <w:lang w:eastAsia="fr-FR"/>
    </w:rPr>
  </w:style>
  <w:style w:type="paragraph" w:customStyle="1" w:styleId="Dfinition-corps">
    <w:name w:val="Définition-corps"/>
    <w:basedOn w:val="Normal"/>
    <w:link w:val="Dfinition-corpsCar"/>
    <w:qFormat/>
    <w:pPr>
      <w:spacing w:before="120" w:line="240" w:lineRule="auto"/>
      <w:ind w:left="284" w:right="283"/>
    </w:pPr>
    <w:rPr>
      <w:rFonts w:asciiTheme="minorHAnsi" w:hAnsiTheme="minorHAnsi" w:cs="Arial"/>
      <w:i/>
      <w:iCs/>
      <w:color w:val="auto"/>
      <w:szCs w:val="20"/>
      <w:lang w:eastAsia="en-US"/>
    </w:rPr>
  </w:style>
  <w:style w:type="character" w:customStyle="1" w:styleId="Dfinition-titreCar">
    <w:name w:val="Définition-titre Car"/>
    <w:basedOn w:val="Policepardfaut"/>
    <w:link w:val="Dfinition-titre"/>
    <w:rPr>
      <w:rFonts w:cs="Arial"/>
      <w:b/>
      <w:bCs/>
      <w:color w:val="F3C345"/>
    </w:rPr>
  </w:style>
  <w:style w:type="character" w:customStyle="1" w:styleId="Dfinition-corpsCar">
    <w:name w:val="Définition-corps Car"/>
    <w:basedOn w:val="Policepardfaut"/>
    <w:link w:val="Dfinition-corps"/>
    <w:rPr>
      <w:rFonts w:cs="Arial"/>
      <w:i/>
      <w:iCs/>
      <w:sz w:val="20"/>
      <w:szCs w:val="20"/>
    </w:rPr>
  </w:style>
  <w:style w:type="paragraph" w:customStyle="1" w:styleId="titrezonedetexte">
    <w:name w:val="titre zone de texte"/>
    <w:basedOn w:val="Normal"/>
    <w:link w:val="titrezonedetexteCar"/>
    <w:qFormat/>
    <w:pPr>
      <w:jc w:val="center"/>
    </w:pPr>
    <w:rPr>
      <w:rFonts w:asciiTheme="minorHAnsi" w:eastAsia="Calibri" w:hAnsiTheme="minorHAnsi" w:cs="Times New Roman"/>
      <w:b/>
      <w:caps/>
      <w:color w:val="787372" w:themeColor="text1" w:themeTint="D9"/>
      <w:sz w:val="17"/>
      <w:szCs w:val="17"/>
      <w:lang w:eastAsia="en-US"/>
    </w:rPr>
  </w:style>
  <w:style w:type="paragraph" w:customStyle="1" w:styleId="corps-zonedetexte">
    <w:name w:val="corps-zone de texte"/>
    <w:basedOn w:val="Normal"/>
    <w:link w:val="corps-zonedetexteCar"/>
    <w:qFormat/>
    <w:pPr>
      <w:numPr>
        <w:numId w:val="15"/>
      </w:numPr>
      <w:spacing w:after="60"/>
      <w:ind w:left="227" w:hanging="227"/>
      <w:jc w:val="left"/>
    </w:pPr>
    <w:rPr>
      <w:rFonts w:asciiTheme="minorHAnsi" w:eastAsia="Calibri" w:hAnsiTheme="minorHAnsi" w:cs="Times New Roman"/>
      <w:color w:val="787372" w:themeColor="text1" w:themeTint="D9"/>
      <w:sz w:val="17"/>
      <w:szCs w:val="17"/>
      <w:lang w:eastAsia="en-US"/>
    </w:rPr>
  </w:style>
  <w:style w:type="character" w:customStyle="1" w:styleId="titrezonedetexteCar">
    <w:name w:val="titre zone de texte Car"/>
    <w:basedOn w:val="Policepardfaut"/>
    <w:link w:val="titrezonedetexte"/>
    <w:rPr>
      <w:rFonts w:eastAsia="Calibri" w:cs="Times New Roman"/>
      <w:b/>
      <w:caps/>
      <w:color w:val="787372" w:themeColor="text1" w:themeTint="D9"/>
      <w:sz w:val="17"/>
      <w:szCs w:val="17"/>
    </w:rPr>
  </w:style>
  <w:style w:type="character" w:customStyle="1" w:styleId="corps-zonedetexteCar">
    <w:name w:val="corps-zone de texte Car"/>
    <w:basedOn w:val="Policepardfaut"/>
    <w:link w:val="corps-zonedetexte"/>
    <w:rPr>
      <w:rFonts w:eastAsia="Calibri" w:cs="Times New Roman"/>
      <w:color w:val="787372" w:themeColor="text1" w:themeTint="D9"/>
      <w:sz w:val="17"/>
      <w:szCs w:val="17"/>
    </w:rPr>
  </w:style>
  <w:style w:type="table" w:styleId="TableauGrille5Fonc-Accentuation6">
    <w:name w:val="Grid Table 5 Dark Accent 6"/>
    <w:basedOn w:val="TableauNormal"/>
    <w:uiPriority w:val="50"/>
    <w:pPr>
      <w:spacing w:after="0" w:line="240" w:lineRule="auto"/>
    </w:pPr>
    <w:tblPr>
      <w:tblStyleRowBandSize w:val="1"/>
      <w:tblStyleColBandSize w:val="1"/>
      <w:tblBorders>
        <w:top w:val="single" w:sz="4" w:space="0" w:color="000000" w:themeColor="background1"/>
        <w:left w:val="single" w:sz="4" w:space="0" w:color="000000" w:themeColor="background1"/>
        <w:bottom w:val="single" w:sz="4" w:space="0" w:color="000000" w:themeColor="background1"/>
        <w:right w:val="single" w:sz="4" w:space="0" w:color="000000" w:themeColor="background1"/>
        <w:insideH w:val="single" w:sz="4" w:space="0" w:color="000000" w:themeColor="background1"/>
        <w:insideV w:val="single" w:sz="4" w:space="0" w:color="000000" w:themeColor="background1"/>
      </w:tblBorders>
    </w:tblPr>
    <w:tcPr>
      <w:shd w:val="clear" w:color="auto" w:fill="F5F8F1" w:themeFill="accent6" w:themeFillTint="33"/>
    </w:tcPr>
    <w:tblStylePr w:type="firstRow">
      <w:rPr>
        <w:b/>
        <w:bCs/>
        <w:color w:val="000000" w:themeColor="background1"/>
      </w:rPr>
      <w:tblPr/>
      <w:tcPr>
        <w:tcBorders>
          <w:top w:val="single" w:sz="4" w:space="0" w:color="000000" w:themeColor="background1"/>
          <w:left w:val="single" w:sz="4" w:space="0" w:color="000000" w:themeColor="background1"/>
          <w:right w:val="single" w:sz="4" w:space="0" w:color="000000" w:themeColor="background1"/>
          <w:insideH w:val="none" w:sz="4" w:space="0" w:color="000000"/>
          <w:insideV w:val="none" w:sz="4" w:space="0" w:color="000000"/>
        </w:tcBorders>
        <w:shd w:val="clear" w:color="auto" w:fill="D1DEBD" w:themeFill="accent6"/>
      </w:tcPr>
    </w:tblStylePr>
    <w:tblStylePr w:type="lastRow">
      <w:rPr>
        <w:b/>
        <w:bCs/>
        <w:color w:val="000000" w:themeColor="background1"/>
      </w:rPr>
      <w:tblPr/>
      <w:tcPr>
        <w:tcBorders>
          <w:left w:val="single" w:sz="4" w:space="0" w:color="000000" w:themeColor="background1"/>
          <w:bottom w:val="single" w:sz="4" w:space="0" w:color="000000" w:themeColor="background1"/>
          <w:right w:val="single" w:sz="4" w:space="0" w:color="000000" w:themeColor="background1"/>
          <w:insideH w:val="none" w:sz="4" w:space="0" w:color="000000"/>
          <w:insideV w:val="none" w:sz="4" w:space="0" w:color="000000"/>
        </w:tcBorders>
        <w:shd w:val="clear" w:color="auto" w:fill="D1DEBD" w:themeFill="accent6"/>
      </w:tcPr>
    </w:tblStylePr>
    <w:tblStylePr w:type="firstCol">
      <w:rPr>
        <w:b/>
        <w:bCs/>
        <w:color w:val="000000" w:themeColor="background1"/>
      </w:rPr>
      <w:tblPr/>
      <w:tcPr>
        <w:tcBorders>
          <w:top w:val="single" w:sz="4" w:space="0" w:color="000000" w:themeColor="background1"/>
          <w:left w:val="single" w:sz="4" w:space="0" w:color="000000" w:themeColor="background1"/>
          <w:bottom w:val="single" w:sz="4" w:space="0" w:color="000000" w:themeColor="background1"/>
          <w:insideV w:val="none" w:sz="4" w:space="0" w:color="000000"/>
        </w:tcBorders>
        <w:shd w:val="clear" w:color="auto" w:fill="D1DEBD" w:themeFill="accent6"/>
      </w:tcPr>
    </w:tblStylePr>
    <w:tblStylePr w:type="lastCol">
      <w:rPr>
        <w:b/>
        <w:bCs/>
        <w:color w:val="000000" w:themeColor="background1"/>
      </w:rPr>
      <w:tblPr/>
      <w:tcPr>
        <w:tcBorders>
          <w:top w:val="single" w:sz="4" w:space="0" w:color="000000" w:themeColor="background1"/>
          <w:bottom w:val="single" w:sz="4" w:space="0" w:color="000000" w:themeColor="background1"/>
          <w:right w:val="single" w:sz="4" w:space="0" w:color="000000" w:themeColor="background1"/>
          <w:insideV w:val="none" w:sz="4" w:space="0" w:color="000000"/>
        </w:tcBorders>
        <w:shd w:val="clear" w:color="auto" w:fill="D1DEBD" w:themeFill="accent6"/>
      </w:tcPr>
    </w:tblStylePr>
    <w:tblStylePr w:type="band1Vert">
      <w:tblPr/>
      <w:tcPr>
        <w:shd w:val="clear" w:color="auto" w:fill="ECF1E4" w:themeFill="accent6" w:themeFillTint="66"/>
      </w:tcPr>
    </w:tblStylePr>
    <w:tblStylePr w:type="band1Horz">
      <w:tblPr/>
      <w:tcPr>
        <w:shd w:val="clear" w:color="auto" w:fill="ECF1E4" w:themeFill="accent6" w:themeFillTint="66"/>
      </w:tcPr>
    </w:tblStylePr>
  </w:style>
  <w:style w:type="paragraph" w:customStyle="1" w:styleId="X5">
    <w:name w:val="X5"/>
    <w:basedOn w:val="NormalWeb"/>
    <w:link w:val="X5Car"/>
    <w:qFormat/>
    <w:pPr>
      <w:spacing w:before="0" w:beforeAutospacing="0" w:after="0" w:afterAutospacing="0"/>
      <w:jc w:val="right"/>
    </w:pPr>
    <w:rPr>
      <w:rFonts w:asciiTheme="minorHAnsi" w:hAnsiTheme="minorHAnsi" w:cstheme="minorHAnsi"/>
      <w:sz w:val="16"/>
      <w:szCs w:val="22"/>
    </w:rPr>
  </w:style>
  <w:style w:type="character" w:customStyle="1" w:styleId="NormalWebCar">
    <w:name w:val="Normal (Web) Car"/>
    <w:basedOn w:val="Policepardfaut"/>
    <w:link w:val="NormalWeb"/>
    <w:uiPriority w:val="99"/>
    <w:rPr>
      <w:rFonts w:ascii="Times New Roman" w:eastAsia="Times New Roman" w:hAnsi="Times New Roman" w:cs="Times New Roman"/>
      <w:color w:val="000000" w:themeColor="background1"/>
      <w:sz w:val="24"/>
      <w:szCs w:val="24"/>
      <w:lang w:eastAsia="fr-FR"/>
    </w:rPr>
  </w:style>
  <w:style w:type="character" w:customStyle="1" w:styleId="X5Car">
    <w:name w:val="X5 Car"/>
    <w:basedOn w:val="NormalWebCar"/>
    <w:link w:val="X5"/>
    <w:rPr>
      <w:rFonts w:ascii="Times New Roman" w:eastAsia="Times New Roman" w:hAnsi="Times New Roman" w:cstheme="minorHAnsi"/>
      <w:color w:val="000000" w:themeColor="background1"/>
      <w:sz w:val="16"/>
      <w:szCs w:val="24"/>
      <w:lang w:eastAsia="fr-FR"/>
    </w:rPr>
  </w:style>
  <w:style w:type="paragraph" w:customStyle="1" w:styleId="RemplissageTableau">
    <w:name w:val="Remplissage Tableau"/>
    <w:basedOn w:val="SGBDS-Normal"/>
    <w:link w:val="RemplissageTableauCar"/>
    <w:qFormat/>
    <w:pPr>
      <w:spacing w:before="40" w:after="40"/>
    </w:pPr>
    <w:rPr>
      <w:bCs/>
      <w:color w:val="6B6665"/>
    </w:rPr>
  </w:style>
  <w:style w:type="paragraph" w:customStyle="1" w:styleId="Titretableau">
    <w:name w:val="Titre tableau"/>
    <w:basedOn w:val="titrezonedetexte"/>
    <w:link w:val="TitretableauCar"/>
    <w:qFormat/>
    <w:pPr>
      <w:spacing w:before="120"/>
    </w:pPr>
  </w:style>
  <w:style w:type="character" w:customStyle="1" w:styleId="RemplissageTableauCar">
    <w:name w:val="Remplissage Tableau Car"/>
    <w:basedOn w:val="SGBDS-NormalCar"/>
    <w:link w:val="RemplissageTableau"/>
    <w:rPr>
      <w:rFonts w:ascii="Arial" w:hAnsi="Arial"/>
      <w:bCs/>
      <w:color w:val="6B6665"/>
      <w:sz w:val="20"/>
      <w:lang w:eastAsia="fr-FR"/>
    </w:rPr>
  </w:style>
  <w:style w:type="character" w:customStyle="1" w:styleId="TitretableauCar">
    <w:name w:val="Titre tableau Car"/>
    <w:basedOn w:val="titrezonedetexteCar"/>
    <w:link w:val="Titretableau"/>
    <w:rPr>
      <w:rFonts w:eastAsia="Calibri" w:cs="Times New Roman"/>
      <w:b/>
      <w:caps/>
      <w:color w:val="787372" w:themeColor="text1" w:themeTint="D9"/>
      <w:sz w:val="17"/>
      <w:szCs w:val="17"/>
    </w:rPr>
  </w:style>
  <w:style w:type="paragraph" w:customStyle="1" w:styleId="SGBDS-Rsum-titre">
    <w:name w:val="SGBDS - Résumé-titre"/>
    <w:basedOn w:val="Normal"/>
    <w:link w:val="SGBDS-Rsum-titreCar"/>
    <w:qFormat/>
    <w:pPr>
      <w:spacing w:before="240" w:after="0"/>
      <w:ind w:left="708" w:right="567"/>
    </w:pPr>
    <w:rPr>
      <w:b/>
      <w:bCs/>
      <w:color w:val="FFFFFF"/>
    </w:rPr>
  </w:style>
  <w:style w:type="paragraph" w:customStyle="1" w:styleId="SGBDS-Rsum-corps">
    <w:name w:val="SGBDS - Résumé - corps"/>
    <w:basedOn w:val="Normal"/>
    <w:link w:val="SGBDS-Rsum-corpsCar"/>
    <w:qFormat/>
    <w:pPr>
      <w:spacing w:before="240"/>
      <w:ind w:left="284" w:right="281"/>
    </w:pPr>
    <w:rPr>
      <w:color w:val="989493" w:themeColor="text1" w:themeTint="A6"/>
    </w:rPr>
  </w:style>
  <w:style w:type="character" w:customStyle="1" w:styleId="SGBDS-Rsum-titreCar">
    <w:name w:val="SGBDS - Résumé-titre Car"/>
    <w:basedOn w:val="Policepardfaut"/>
    <w:link w:val="SGBDS-Rsum-titre"/>
    <w:rPr>
      <w:rFonts w:ascii="Arial" w:hAnsi="Arial"/>
      <w:b/>
      <w:bCs/>
      <w:color w:val="FFFFFF"/>
      <w:sz w:val="20"/>
      <w:lang w:eastAsia="fr-FR"/>
    </w:rPr>
  </w:style>
  <w:style w:type="character" w:customStyle="1" w:styleId="SGBDS-Rsum-corpsCar">
    <w:name w:val="SGBDS - Résumé - corps Car"/>
    <w:basedOn w:val="Policepardfaut"/>
    <w:link w:val="SGBDS-Rsum-corps"/>
    <w:rPr>
      <w:rFonts w:ascii="Arial" w:hAnsi="Arial"/>
      <w:color w:val="989493" w:themeColor="text1" w:themeTint="A6"/>
      <w:sz w:val="20"/>
      <w:lang w:eastAsia="fr-FR"/>
    </w:rPr>
  </w:style>
  <w:style w:type="table" w:styleId="TableauGrille5Fonc-Accentuation2">
    <w:name w:val="Grid Table 5 Dark Accent 2"/>
    <w:basedOn w:val="TableauNormal"/>
    <w:uiPriority w:val="50"/>
    <w:pPr>
      <w:spacing w:after="0" w:line="240" w:lineRule="auto"/>
    </w:pPr>
    <w:tblPr>
      <w:tblStyleRowBandSize w:val="1"/>
      <w:tblStyleColBandSize w:val="1"/>
      <w:tblBorders>
        <w:top w:val="single" w:sz="4" w:space="0" w:color="000000" w:themeColor="background1"/>
        <w:left w:val="single" w:sz="4" w:space="0" w:color="000000" w:themeColor="background1"/>
        <w:bottom w:val="single" w:sz="4" w:space="0" w:color="000000" w:themeColor="background1"/>
        <w:right w:val="single" w:sz="4" w:space="0" w:color="000000" w:themeColor="background1"/>
        <w:insideH w:val="single" w:sz="4" w:space="0" w:color="000000" w:themeColor="background1"/>
        <w:insideV w:val="single" w:sz="4" w:space="0" w:color="000000" w:themeColor="background1"/>
      </w:tblBorders>
    </w:tblPr>
    <w:tcPr>
      <w:shd w:val="clear" w:color="auto" w:fill="FDF6E6" w:themeFill="accent2" w:themeFillTint="33"/>
    </w:tcPr>
    <w:tblStylePr w:type="firstRow">
      <w:rPr>
        <w:b/>
        <w:bCs/>
        <w:color w:val="000000" w:themeColor="background1"/>
      </w:rPr>
      <w:tblPr/>
      <w:tcPr>
        <w:tcBorders>
          <w:top w:val="single" w:sz="4" w:space="0" w:color="000000" w:themeColor="background1"/>
          <w:left w:val="single" w:sz="4" w:space="0" w:color="000000" w:themeColor="background1"/>
          <w:right w:val="single" w:sz="4" w:space="0" w:color="000000" w:themeColor="background1"/>
          <w:insideH w:val="none" w:sz="4" w:space="0" w:color="000000"/>
          <w:insideV w:val="none" w:sz="4" w:space="0" w:color="000000"/>
        </w:tcBorders>
        <w:shd w:val="clear" w:color="auto" w:fill="F7D586" w:themeFill="accent2"/>
      </w:tcPr>
    </w:tblStylePr>
    <w:tblStylePr w:type="lastRow">
      <w:rPr>
        <w:b/>
        <w:bCs/>
        <w:color w:val="000000" w:themeColor="background1"/>
      </w:rPr>
      <w:tblPr/>
      <w:tcPr>
        <w:tcBorders>
          <w:left w:val="single" w:sz="4" w:space="0" w:color="000000" w:themeColor="background1"/>
          <w:bottom w:val="single" w:sz="4" w:space="0" w:color="000000" w:themeColor="background1"/>
          <w:right w:val="single" w:sz="4" w:space="0" w:color="000000" w:themeColor="background1"/>
          <w:insideH w:val="none" w:sz="4" w:space="0" w:color="000000"/>
          <w:insideV w:val="none" w:sz="4" w:space="0" w:color="000000"/>
        </w:tcBorders>
        <w:shd w:val="clear" w:color="auto" w:fill="F7D586" w:themeFill="accent2"/>
      </w:tcPr>
    </w:tblStylePr>
    <w:tblStylePr w:type="firstCol">
      <w:rPr>
        <w:b/>
        <w:bCs/>
        <w:color w:val="000000" w:themeColor="background1"/>
      </w:rPr>
      <w:tblPr/>
      <w:tcPr>
        <w:tcBorders>
          <w:top w:val="single" w:sz="4" w:space="0" w:color="000000" w:themeColor="background1"/>
          <w:left w:val="single" w:sz="4" w:space="0" w:color="000000" w:themeColor="background1"/>
          <w:bottom w:val="single" w:sz="4" w:space="0" w:color="000000" w:themeColor="background1"/>
          <w:insideV w:val="none" w:sz="4" w:space="0" w:color="000000"/>
        </w:tcBorders>
        <w:shd w:val="clear" w:color="auto" w:fill="F7D586" w:themeFill="accent2"/>
      </w:tcPr>
    </w:tblStylePr>
    <w:tblStylePr w:type="lastCol">
      <w:rPr>
        <w:b/>
        <w:bCs/>
        <w:color w:val="000000" w:themeColor="background1"/>
      </w:rPr>
      <w:tblPr/>
      <w:tcPr>
        <w:tcBorders>
          <w:top w:val="single" w:sz="4" w:space="0" w:color="000000" w:themeColor="background1"/>
          <w:bottom w:val="single" w:sz="4" w:space="0" w:color="000000" w:themeColor="background1"/>
          <w:right w:val="single" w:sz="4" w:space="0" w:color="000000" w:themeColor="background1"/>
          <w:insideV w:val="none" w:sz="4" w:space="0" w:color="000000"/>
        </w:tcBorders>
        <w:shd w:val="clear" w:color="auto" w:fill="F7D586" w:themeFill="accent2"/>
      </w:tcPr>
    </w:tblStylePr>
    <w:tblStylePr w:type="band1Vert">
      <w:tblPr/>
      <w:tcPr>
        <w:shd w:val="clear" w:color="auto" w:fill="FBEECE" w:themeFill="accent2" w:themeFillTint="66"/>
      </w:tcPr>
    </w:tblStylePr>
    <w:tblStylePr w:type="band1Horz">
      <w:tblPr/>
      <w:tcPr>
        <w:shd w:val="clear" w:color="auto" w:fill="FBEECE" w:themeFill="accent2" w:themeFillTint="66"/>
      </w:tcPr>
    </w:tblStylePr>
  </w:style>
  <w:style w:type="paragraph" w:customStyle="1" w:styleId="Puces0">
    <w:name w:val="Puces"/>
    <w:basedOn w:val="SGBDS-Normal"/>
    <w:link w:val="PucesCar"/>
    <w:qFormat/>
    <w:pPr>
      <w:numPr>
        <w:numId w:val="14"/>
      </w:numPr>
      <w:spacing w:after="60"/>
    </w:pPr>
  </w:style>
  <w:style w:type="paragraph" w:customStyle="1" w:styleId="Sous-puces">
    <w:name w:val="Sous-puces"/>
    <w:basedOn w:val="Puces0"/>
    <w:link w:val="Sous-pucesCar"/>
    <w:qFormat/>
    <w:pPr>
      <w:numPr>
        <w:ilvl w:val="1"/>
        <w:numId w:val="20"/>
      </w:numPr>
    </w:pPr>
  </w:style>
  <w:style w:type="character" w:customStyle="1" w:styleId="PucesCar">
    <w:name w:val="Puces Car"/>
    <w:basedOn w:val="SGBDS-NormalCar"/>
    <w:link w:val="Puces0"/>
    <w:rPr>
      <w:rFonts w:ascii="Arial" w:hAnsi="Arial"/>
      <w:color w:val="000000" w:themeColor="background1"/>
      <w:sz w:val="20"/>
      <w:lang w:eastAsia="fr-FR"/>
    </w:rPr>
  </w:style>
  <w:style w:type="character" w:customStyle="1" w:styleId="Sous-pucesCar">
    <w:name w:val="Sous-puces Car"/>
    <w:basedOn w:val="PucesCar"/>
    <w:link w:val="Sous-puces"/>
    <w:rPr>
      <w:rFonts w:ascii="Arial" w:hAnsi="Arial"/>
      <w:color w:val="000000" w:themeColor="background1"/>
      <w:sz w:val="20"/>
      <w:lang w:eastAsia="fr-FR"/>
    </w:rPr>
  </w:style>
  <w:style w:type="paragraph" w:customStyle="1" w:styleId="QBO-Texte">
    <w:name w:val="QBO - Texte"/>
    <w:basedOn w:val="Normal"/>
    <w:link w:val="QBO-TexteCar"/>
    <w:qFormat/>
    <w:rsid w:val="00055A7C"/>
    <w:pPr>
      <w:spacing w:after="160" w:line="276" w:lineRule="auto"/>
    </w:pPr>
    <w:rPr>
      <w:rFonts w:asciiTheme="minorHAnsi" w:hAnsiTheme="minorHAnsi"/>
      <w:color w:val="auto"/>
      <w:kern w:val="2"/>
      <w:szCs w:val="24"/>
      <w:lang w:eastAsia="en-US"/>
      <w14:ligatures w14:val="standardContextual"/>
    </w:rPr>
  </w:style>
  <w:style w:type="character" w:customStyle="1" w:styleId="QBO-TexteCar">
    <w:name w:val="QBO - Texte Car"/>
    <w:basedOn w:val="Policepardfaut"/>
    <w:link w:val="QBO-Texte"/>
    <w:rsid w:val="00055A7C"/>
    <w:rPr>
      <w:kern w:val="2"/>
      <w:sz w:val="20"/>
      <w:szCs w:val="24"/>
      <w14:ligatures w14:val="standardContextual"/>
    </w:rPr>
  </w:style>
  <w:style w:type="paragraph" w:customStyle="1" w:styleId="QBO-Puces1">
    <w:name w:val="QBO - Puces 1"/>
    <w:basedOn w:val="Paragraphedeliste"/>
    <w:link w:val="QBO-Puces1Car"/>
    <w:qFormat/>
    <w:rsid w:val="00055A7C"/>
    <w:pPr>
      <w:numPr>
        <w:numId w:val="23"/>
      </w:numPr>
      <w:spacing w:after="0" w:line="276" w:lineRule="auto"/>
    </w:pPr>
    <w:rPr>
      <w:rFonts w:asciiTheme="minorHAnsi" w:hAnsiTheme="minorHAnsi"/>
      <w:kern w:val="2"/>
      <w:szCs w:val="20"/>
      <w14:ligatures w14:val="standardContextual"/>
    </w:rPr>
  </w:style>
  <w:style w:type="character" w:customStyle="1" w:styleId="QBO-Puces1Car">
    <w:name w:val="QBO - Puces 1 Car"/>
    <w:basedOn w:val="Policepardfaut"/>
    <w:link w:val="QBO-Puces1"/>
    <w:rsid w:val="00055A7C"/>
    <w:rPr>
      <w:color w:val="000000" w:themeColor="background1"/>
      <w:kern w:val="2"/>
      <w:sz w:val="20"/>
      <w:szCs w:val="20"/>
      <w:lang w:eastAsia="fr-FR"/>
      <w14:ligatures w14:val="standardContextual"/>
    </w:rPr>
  </w:style>
  <w:style w:type="paragraph" w:customStyle="1" w:styleId="QBO-Notesbasdepage">
    <w:name w:val="QBO - Notes bas de page"/>
    <w:basedOn w:val="Notedebasdepage"/>
    <w:link w:val="QBO-NotesbasdepageCar"/>
    <w:qFormat/>
    <w:rsid w:val="00E674C2"/>
    <w:pPr>
      <w:spacing w:after="0" w:line="278" w:lineRule="auto"/>
      <w:jc w:val="left"/>
    </w:pPr>
    <w:rPr>
      <w:color w:val="605C5B" w:themeColor="text1"/>
      <w:kern w:val="2"/>
      <w:sz w:val="16"/>
      <w:szCs w:val="16"/>
      <w14:ligatures w14:val="standardContextual"/>
    </w:rPr>
  </w:style>
  <w:style w:type="character" w:customStyle="1" w:styleId="QBO-NotesbasdepageCar">
    <w:name w:val="QBO - Notes bas de page Car"/>
    <w:basedOn w:val="NotedebasdepageCar"/>
    <w:link w:val="QBO-Notesbasdepage"/>
    <w:rsid w:val="00E674C2"/>
    <w:rPr>
      <w:rFonts w:ascii="Arial" w:eastAsia="Times New Roman" w:hAnsi="Arial" w:cs="Times New Roman"/>
      <w:color w:val="605C5B" w:themeColor="text1"/>
      <w:kern w:val="2"/>
      <w:sz w:val="16"/>
      <w:szCs w:val="16"/>
      <w:lang w:eastAsia="fr-FR"/>
      <w14:ligatures w14:val="standardContextual"/>
    </w:rPr>
  </w:style>
  <w:style w:type="paragraph" w:customStyle="1" w:styleId="QBO-Sources">
    <w:name w:val="QBO - Sources"/>
    <w:basedOn w:val="Sources"/>
    <w:link w:val="QBO-SourcesCar"/>
    <w:qFormat/>
    <w:rsid w:val="00F93A91"/>
    <w:pPr>
      <w:spacing w:after="240" w:line="278" w:lineRule="auto"/>
    </w:pPr>
    <w:rPr>
      <w:kern w:val="2"/>
      <w:sz w:val="16"/>
      <w:u w:val="single"/>
      <w14:ligatures w14:val="standardContextual"/>
    </w:rPr>
  </w:style>
  <w:style w:type="character" w:customStyle="1" w:styleId="QBO-SourcesCar">
    <w:name w:val="QBO - Sources Car"/>
    <w:basedOn w:val="SourcesCar"/>
    <w:link w:val="QBO-Sources"/>
    <w:rsid w:val="00F93A91"/>
    <w:rPr>
      <w:bCs/>
      <w:color w:val="A29F9F" w:themeColor="background2"/>
      <w:kern w:val="2"/>
      <w:sz w:val="16"/>
      <w:szCs w:val="18"/>
      <w:u w:val="single"/>
      <w14:ligatures w14:val="standardContextual"/>
    </w:rPr>
  </w:style>
  <w:style w:type="character" w:customStyle="1" w:styleId="lgendeCar0">
    <w:name w:val="légende Car"/>
    <w:basedOn w:val="Policepardfaut"/>
    <w:link w:val="lgende0"/>
    <w:rsid w:val="001B1E8E"/>
    <w:rPr>
      <w:rFonts w:ascii="Arial" w:hAnsi="Arial"/>
      <w:i/>
      <w:color w:val="605C5B" w:themeColor="text1"/>
      <w:sz w:val="20"/>
      <w:szCs w:val="20"/>
      <w:u w:val="single"/>
      <w:lang w:eastAsia="fr-FR"/>
    </w:rPr>
  </w:style>
  <w:style w:type="paragraph" w:customStyle="1" w:styleId="CCNEB-Texte">
    <w:name w:val="CCNEB-Texte"/>
    <w:basedOn w:val="Normal"/>
    <w:link w:val="CCNEB-TexteCar"/>
    <w:qFormat/>
    <w:rsid w:val="00464E2F"/>
    <w:pPr>
      <w:spacing w:line="276" w:lineRule="auto"/>
    </w:pPr>
    <w:rPr>
      <w:color w:val="auto"/>
      <w:lang w:eastAsia="en-US"/>
    </w:rPr>
  </w:style>
  <w:style w:type="character" w:customStyle="1" w:styleId="CCNEB-TexteCar">
    <w:name w:val="CCNEB-Texte Car"/>
    <w:basedOn w:val="Policepardfaut"/>
    <w:link w:val="CCNEB-Texte"/>
    <w:rsid w:val="00464E2F"/>
    <w:rPr>
      <w:rFonts w:ascii="Arial" w:hAnsi="Arial"/>
      <w:sz w:val="20"/>
    </w:rPr>
  </w:style>
  <w:style w:type="paragraph" w:customStyle="1" w:styleId="Adresses">
    <w:name w:val="Adresses"/>
    <w:basedOn w:val="Normal"/>
    <w:link w:val="AdressesCar"/>
    <w:autoRedefine/>
    <w:qFormat/>
    <w:rsid w:val="00C57179"/>
    <w:pPr>
      <w:spacing w:after="160" w:line="278" w:lineRule="auto"/>
      <w:jc w:val="left"/>
    </w:pPr>
    <w:rPr>
      <w:rFonts w:asciiTheme="minorHAnsi" w:hAnsiTheme="minorHAnsi"/>
      <w:color w:val="auto"/>
      <w:kern w:val="2"/>
      <w:sz w:val="18"/>
      <w:szCs w:val="24"/>
      <w:lang w:eastAsia="en-US"/>
      <w14:ligatures w14:val="standardContextual"/>
    </w:rPr>
  </w:style>
  <w:style w:type="character" w:customStyle="1" w:styleId="AdressesCar">
    <w:name w:val="Adresses Car"/>
    <w:basedOn w:val="Policepardfaut"/>
    <w:link w:val="Adresses"/>
    <w:rsid w:val="00C57179"/>
    <w:rPr>
      <w:kern w:val="2"/>
      <w:sz w:val="18"/>
      <w:szCs w:val="24"/>
      <w14:ligatures w14:val="standardContextual"/>
    </w:rPr>
  </w:style>
  <w:style w:type="paragraph" w:customStyle="1" w:styleId="QBO-Lgende">
    <w:name w:val="QBO - Légende"/>
    <w:basedOn w:val="lgende0"/>
    <w:link w:val="QBO-LgendeCar"/>
    <w:qFormat/>
    <w:rsid w:val="00220165"/>
    <w:pPr>
      <w:spacing w:after="0" w:line="278" w:lineRule="auto"/>
      <w:contextualSpacing w:val="0"/>
    </w:pPr>
    <w:rPr>
      <w:rFonts w:asciiTheme="minorHAnsi" w:hAnsiTheme="minorHAnsi"/>
      <w:b/>
      <w:bCs/>
      <w:i w:val="0"/>
      <w:color w:val="F3C345" w:themeColor="accent1"/>
      <w:kern w:val="2"/>
      <w:sz w:val="18"/>
      <w:szCs w:val="18"/>
      <w:u w:val="none"/>
      <w14:ligatures w14:val="standardContextual"/>
    </w:rPr>
  </w:style>
  <w:style w:type="character" w:customStyle="1" w:styleId="QBO-LgendeCar">
    <w:name w:val="QBO - Légende Car"/>
    <w:basedOn w:val="Policepardfaut"/>
    <w:link w:val="QBO-Lgende"/>
    <w:rsid w:val="00220165"/>
    <w:rPr>
      <w:b/>
      <w:bCs/>
      <w:color w:val="F3C345" w:themeColor="accent1"/>
      <w:kern w:val="2"/>
      <w:sz w:val="18"/>
      <w:szCs w:val="18"/>
      <w:lang w:eastAsia="fr-FR"/>
      <w14:ligatures w14:val="standardContextual"/>
    </w:rPr>
  </w:style>
  <w:style w:type="paragraph" w:customStyle="1" w:styleId="puces">
    <w:name w:val="puces"/>
    <w:basedOn w:val="Paragraphedeliste"/>
    <w:link w:val="pucesCar0"/>
    <w:qFormat/>
    <w:rsid w:val="0026244C"/>
    <w:pPr>
      <w:numPr>
        <w:numId w:val="37"/>
      </w:numPr>
      <w:spacing w:line="276" w:lineRule="auto"/>
    </w:pPr>
    <w:rPr>
      <w:kern w:val="2"/>
      <w:sz w:val="24"/>
      <w:szCs w:val="24"/>
      <w14:ligatures w14:val="standardContextual"/>
    </w:rPr>
  </w:style>
  <w:style w:type="character" w:customStyle="1" w:styleId="pucesCar0">
    <w:name w:val="puces Car"/>
    <w:basedOn w:val="ParagraphedelisteCar"/>
    <w:link w:val="puces"/>
    <w:rsid w:val="0026244C"/>
    <w:rPr>
      <w:rFonts w:ascii="Arial" w:hAnsi="Arial"/>
      <w:color w:val="000000" w:themeColor="background1"/>
      <w:kern w:val="2"/>
      <w:sz w:val="24"/>
      <w:szCs w:val="24"/>
      <w:lang w:eastAsia="fr-FR"/>
      <w14:ligatures w14:val="standardContextual"/>
    </w:rPr>
  </w:style>
  <w:style w:type="table" w:customStyle="1" w:styleId="Grilledutableau11">
    <w:name w:val="Grille du tableau11"/>
    <w:basedOn w:val="TableauNormal"/>
    <w:next w:val="Grilledutableau"/>
    <w:uiPriority w:val="59"/>
    <w:rsid w:val="00055A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Titre1"/>
    <w:link w:val="Style3Car"/>
    <w:qFormat/>
    <w:rsid w:val="00666805"/>
    <w:pPr>
      <w:pageBreakBefore w:val="0"/>
      <w:spacing w:before="0" w:after="160"/>
      <w:ind w:left="360" w:hanging="360"/>
    </w:pPr>
    <w:rPr>
      <w:rFonts w:ascii="Arial Gras" w:hAnsi="Arial Gras" w:cs="Arial"/>
      <w:caps/>
      <w:smallCaps w:val="0"/>
      <w:color w:val="605C5B"/>
      <w:sz w:val="32"/>
      <w:szCs w:val="32"/>
    </w:rPr>
  </w:style>
  <w:style w:type="character" w:customStyle="1" w:styleId="Style3Car">
    <w:name w:val="Style3 Car"/>
    <w:basedOn w:val="Policepardfaut"/>
    <w:link w:val="Style3"/>
    <w:rsid w:val="00666805"/>
    <w:rPr>
      <w:rFonts w:ascii="Arial Gras" w:eastAsiaTheme="majorEastAsia" w:hAnsi="Arial Gras" w:cs="Arial"/>
      <w:b/>
      <w:bCs/>
      <w:caps/>
      <w:color w:val="605C5B"/>
      <w:sz w:val="32"/>
      <w:szCs w:val="3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4395350">
      <w:bodyDiv w:val="1"/>
      <w:marLeft w:val="0"/>
      <w:marRight w:val="0"/>
      <w:marTop w:val="0"/>
      <w:marBottom w:val="0"/>
      <w:divBdr>
        <w:top w:val="none" w:sz="0" w:space="0" w:color="auto"/>
        <w:left w:val="none" w:sz="0" w:space="0" w:color="auto"/>
        <w:bottom w:val="none" w:sz="0" w:space="0" w:color="auto"/>
        <w:right w:val="none" w:sz="0" w:space="0" w:color="auto"/>
      </w:divBdr>
    </w:div>
    <w:div w:id="1480461055">
      <w:bodyDiv w:val="1"/>
      <w:marLeft w:val="0"/>
      <w:marRight w:val="0"/>
      <w:marTop w:val="0"/>
      <w:marBottom w:val="0"/>
      <w:divBdr>
        <w:top w:val="none" w:sz="0" w:space="0" w:color="auto"/>
        <w:left w:val="none" w:sz="0" w:space="0" w:color="auto"/>
        <w:bottom w:val="none" w:sz="0" w:space="0" w:color="auto"/>
        <w:right w:val="none" w:sz="0" w:space="0" w:color="auto"/>
      </w:divBdr>
    </w:div>
    <w:div w:id="1968319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39" Type="http://schemas.openxmlformats.org/officeDocument/2006/relationships/chart" Target="charts/chart1.xml"/><Relationship Id="rId42" Type="http://schemas.openxmlformats.org/officeDocument/2006/relationships/chart" Target="charts/chart4.xml"/><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header" Target="header3.xml"/><Relationship Id="rId63" Type="http://schemas.openxmlformats.org/officeDocument/2006/relationships/image" Target="media/image2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37" Type="http://schemas.openxmlformats.org/officeDocument/2006/relationships/image" Target="media/image10.jpeg"/><Relationship Id="rId40" Type="http://schemas.openxmlformats.org/officeDocument/2006/relationships/chart" Target="charts/chart2.xml"/><Relationship Id="rId45" Type="http://schemas.openxmlformats.org/officeDocument/2006/relationships/image" Target="media/image14.png"/><Relationship Id="rId53" Type="http://schemas.openxmlformats.org/officeDocument/2006/relationships/chart" Target="charts/chart6.xml"/><Relationship Id="rId58" Type="http://schemas.openxmlformats.org/officeDocument/2006/relationships/image" Target="media/image24.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36" Type="http://schemas.openxmlformats.org/officeDocument/2006/relationships/image" Target="media/image120.png"/><Relationship Id="rId49" Type="http://schemas.openxmlformats.org/officeDocument/2006/relationships/image" Target="media/image18.png"/><Relationship Id="rId57" Type="http://schemas.openxmlformats.org/officeDocument/2006/relationships/image" Target="media/image23.png"/><Relationship Id="rId61" Type="http://schemas.openxmlformats.org/officeDocument/2006/relationships/image" Target="media/image27.png"/><Relationship Id="rId10" Type="http://schemas.openxmlformats.org/officeDocument/2006/relationships/image" Target="media/image3.jpeg"/><Relationship Id="rId44" Type="http://schemas.openxmlformats.org/officeDocument/2006/relationships/image" Target="media/image13.jpeg"/><Relationship Id="rId52" Type="http://schemas.openxmlformats.org/officeDocument/2006/relationships/chart" Target="charts/chart5.xml"/><Relationship Id="rId60" Type="http://schemas.openxmlformats.org/officeDocument/2006/relationships/image" Target="media/image26.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43" Type="http://schemas.openxmlformats.org/officeDocument/2006/relationships/image" Target="media/image12.jpeg"/><Relationship Id="rId48" Type="http://schemas.openxmlformats.org/officeDocument/2006/relationships/image" Target="media/image17.png"/><Relationship Id="rId56" Type="http://schemas.openxmlformats.org/officeDocument/2006/relationships/image" Target="media/image22.png"/><Relationship Id="rId64" Type="http://schemas.openxmlformats.org/officeDocument/2006/relationships/image" Target="media/image30.jpeg"/><Relationship Id="rId8" Type="http://schemas.openxmlformats.org/officeDocument/2006/relationships/image" Target="media/image1.jpeg"/><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header" Target="header1.xml"/><Relationship Id="rId38" Type="http://schemas.openxmlformats.org/officeDocument/2006/relationships/image" Target="media/image11.png"/><Relationship Id="rId46" Type="http://schemas.openxmlformats.org/officeDocument/2006/relationships/image" Target="media/image15.png"/><Relationship Id="rId59" Type="http://schemas.openxmlformats.org/officeDocument/2006/relationships/image" Target="media/image25.png"/><Relationship Id="rId41" Type="http://schemas.openxmlformats.org/officeDocument/2006/relationships/chart" Target="charts/chart3.xml"/><Relationship Id="rId54" Type="http://schemas.openxmlformats.org/officeDocument/2006/relationships/hyperlink" Target="https://www.bretagne.bzh/actions/grands-projets/zerodechet/" TargetMode="External"/><Relationship Id="rId62" Type="http://schemas.openxmlformats.org/officeDocument/2006/relationships/image" Target="media/image28.png"/></Relationships>
</file>

<file path=word/_rels/footer1.xml.rels><?xml version="1.0" encoding="UTF-8" standalone="yes"?>
<Relationships xmlns="http://schemas.openxmlformats.org/package/2006/relationships"><Relationship Id="rId1" Type="http://schemas.openxmlformats.org/officeDocument/2006/relationships/hyperlink" Target="http://www.alterea.f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1.jpg"/><Relationship Id="rId1" Type="http://schemas.openxmlformats.org/officeDocument/2006/relationships/image" Target="media/image5.jp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7.jp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ALTEREA-FIC01\alterea\Projets\CA%20QUIMPER%20BRETAGNE%20OCCIDENTALE\04%20-%20PCAET\00%20-%20Outils\2%20-%20Bilan%20Carbone%20Territoire\Bilan_Carbone_Territoire%20-%20CA%20QBO.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ALTEREA-FIC01\alterea\Projets\CA%20QUIMPER%20BRETAGNE%20OCCIDENTALE\04%20-%20PCAET\00%20-%20Outils\2%20-%20Bilan%20Carbone%20Territoire\Bilan_Carbone_Territoire%20-%20CA%20QBO.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ALTEREA-FIC01\alterea\Projets\CA%20QUIMPER%20BRETAGNE%20OCCIDENTALE\02%20-%20Documents%20sources\Donn&#233;es%20Climat%20Energie%20-%20Terristory\epci_production-d-energie-renouvelable-enr.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ALTEREA-FIC01\alterea\Projets\CA%20QUIMPER%20BRETAGNE%20OCCIDENTALE\04%20-%20PCAET\00%20-%20Outils\4%20-%20Outil%20strat&#233;gique\Sc&#233;narios%20de%20r&#233;duction%20des%20&#233;missions\2023-10-10%20-Trame%20Strat&#233;gie%20-%20QBO%20-%20sc&#233;nario%20CA%20QBO%20-%20version%20LULE%20-%20V3.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ALTEREA-FIC01\alterea\Projets\CA%20QUIMPER%20BRETAGNE%20OCCIDENTALE\04%20-%20PCAET\00%20-%20Outils\4%20-%20Outil%20strat&#233;gique\Sc&#233;narios%20de%20r&#233;duction%20des%20&#233;missions\2023-10-10%20-Trame%20Strat&#233;gie%20-%20QBO%20-%20sc&#233;nario%20CA%20QBO%20-%20version%20LULE%20-%20V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84529717465726"/>
          <c:y val="4.2859925969218782E-2"/>
          <c:w val="0.84678028718573373"/>
          <c:h val="0.6636330306753736"/>
        </c:manualLayout>
      </c:layout>
      <c:barChart>
        <c:barDir val="col"/>
        <c:grouping val="stacked"/>
        <c:varyColors val="0"/>
        <c:ser>
          <c:idx val="0"/>
          <c:order val="0"/>
          <c:tx>
            <c:strRef>
              <c:f>Traitement!$A$5</c:f>
              <c:strCache>
                <c:ptCount val="1"/>
                <c:pt idx="0">
                  <c:v>Agriculture</c:v>
                </c:pt>
              </c:strCache>
            </c:strRef>
          </c:tx>
          <c:spPr>
            <a:solidFill>
              <a:srgbClr val="548235"/>
            </a:solidFill>
            <a:ln>
              <a:noFill/>
            </a:ln>
            <a:effectLst/>
          </c:spPr>
          <c:invertIfNegative val="0"/>
          <c:cat>
            <c:strRef>
              <c:f>Traitement!$B$4:$G$4</c:f>
              <c:strCache>
                <c:ptCount val="6"/>
                <c:pt idx="0">
                  <c:v>COVNM - t/an</c:v>
                </c:pt>
                <c:pt idx="1">
                  <c:v> NH3 - t/an</c:v>
                </c:pt>
                <c:pt idx="2">
                  <c:v>NOx - t/an</c:v>
                </c:pt>
                <c:pt idx="3">
                  <c:v>PM10 - t/an</c:v>
                </c:pt>
                <c:pt idx="4">
                  <c:v>PM2.5 - t/an</c:v>
                </c:pt>
                <c:pt idx="5">
                  <c:v>SO2 - t/an</c:v>
                </c:pt>
              </c:strCache>
            </c:strRef>
          </c:cat>
          <c:val>
            <c:numRef>
              <c:f>Traitement!$B$5:$G$5</c:f>
              <c:numCache>
                <c:formatCode>_-* #\ ##0_-;\-* #\ ##0_-;_-* "-"??_-;_-@_-</c:formatCode>
                <c:ptCount val="6"/>
                <c:pt idx="0">
                  <c:v>7.5969680712215819</c:v>
                </c:pt>
                <c:pt idx="1">
                  <c:v>1577.5123203009518</c:v>
                </c:pt>
                <c:pt idx="2">
                  <c:v>190.74690852677651</c:v>
                </c:pt>
                <c:pt idx="3">
                  <c:v>123.35085732079459</c:v>
                </c:pt>
                <c:pt idx="4">
                  <c:v>28.071651413299293</c:v>
                </c:pt>
                <c:pt idx="5">
                  <c:v>1.1525465477822723</c:v>
                </c:pt>
              </c:numCache>
            </c:numRef>
          </c:val>
          <c:extLst>
            <c:ext xmlns:c16="http://schemas.microsoft.com/office/drawing/2014/chart" uri="{C3380CC4-5D6E-409C-BE32-E72D297353CC}">
              <c16:uniqueId val="{00000000-8249-414B-93F8-008E2A45BDAE}"/>
            </c:ext>
          </c:extLst>
        </c:ser>
        <c:ser>
          <c:idx val="1"/>
          <c:order val="1"/>
          <c:tx>
            <c:strRef>
              <c:f>Traitement!$A$6</c:f>
              <c:strCache>
                <c:ptCount val="1"/>
                <c:pt idx="0">
                  <c:v>Industrie (hors branche énergie)</c:v>
                </c:pt>
              </c:strCache>
            </c:strRef>
          </c:tx>
          <c:spPr>
            <a:solidFill>
              <a:srgbClr val="C00000"/>
            </a:solidFill>
            <a:ln>
              <a:noFill/>
            </a:ln>
            <a:effectLst/>
          </c:spPr>
          <c:invertIfNegative val="0"/>
          <c:cat>
            <c:strRef>
              <c:f>Traitement!$B$4:$G$4</c:f>
              <c:strCache>
                <c:ptCount val="6"/>
                <c:pt idx="0">
                  <c:v>COVNM - t/an</c:v>
                </c:pt>
                <c:pt idx="1">
                  <c:v> NH3 - t/an</c:v>
                </c:pt>
                <c:pt idx="2">
                  <c:v>NOx - t/an</c:v>
                </c:pt>
                <c:pt idx="3">
                  <c:v>PM10 - t/an</c:v>
                </c:pt>
                <c:pt idx="4">
                  <c:v>PM2.5 - t/an</c:v>
                </c:pt>
                <c:pt idx="5">
                  <c:v>SO2 - t/an</c:v>
                </c:pt>
              </c:strCache>
            </c:strRef>
          </c:cat>
          <c:val>
            <c:numRef>
              <c:f>Traitement!$B$6:$G$6</c:f>
              <c:numCache>
                <c:formatCode>_-* #\ ##0_-;\-* #\ ##0_-;_-* "-"??_-;_-@_-</c:formatCode>
                <c:ptCount val="6"/>
                <c:pt idx="0">
                  <c:v>372.6740345500175</c:v>
                </c:pt>
                <c:pt idx="1">
                  <c:v>0.14175205768443522</c:v>
                </c:pt>
                <c:pt idx="2">
                  <c:v>121.9419717015123</c:v>
                </c:pt>
                <c:pt idx="3">
                  <c:v>68.202267160635927</c:v>
                </c:pt>
                <c:pt idx="4">
                  <c:v>39.021673409874879</c:v>
                </c:pt>
                <c:pt idx="5">
                  <c:v>13.130447281010827</c:v>
                </c:pt>
              </c:numCache>
            </c:numRef>
          </c:val>
          <c:extLst>
            <c:ext xmlns:c16="http://schemas.microsoft.com/office/drawing/2014/chart" uri="{C3380CC4-5D6E-409C-BE32-E72D297353CC}">
              <c16:uniqueId val="{00000001-8249-414B-93F8-008E2A45BDAE}"/>
            </c:ext>
          </c:extLst>
        </c:ser>
        <c:ser>
          <c:idx val="2"/>
          <c:order val="2"/>
          <c:tx>
            <c:strRef>
              <c:f>Traitement!$A$7</c:f>
              <c:strCache>
                <c:ptCount val="1"/>
                <c:pt idx="0">
                  <c:v>Industrie (branche énergie)</c:v>
                </c:pt>
              </c:strCache>
            </c:strRef>
          </c:tx>
          <c:spPr>
            <a:solidFill>
              <a:srgbClr val="FF0000"/>
            </a:solidFill>
            <a:ln>
              <a:noFill/>
            </a:ln>
            <a:effectLst/>
          </c:spPr>
          <c:invertIfNegative val="0"/>
          <c:cat>
            <c:strRef>
              <c:f>Traitement!$B$4:$G$4</c:f>
              <c:strCache>
                <c:ptCount val="6"/>
                <c:pt idx="0">
                  <c:v>COVNM - t/an</c:v>
                </c:pt>
                <c:pt idx="1">
                  <c:v> NH3 - t/an</c:v>
                </c:pt>
                <c:pt idx="2">
                  <c:v>NOx - t/an</c:v>
                </c:pt>
                <c:pt idx="3">
                  <c:v>PM10 - t/an</c:v>
                </c:pt>
                <c:pt idx="4">
                  <c:v>PM2.5 - t/an</c:v>
                </c:pt>
                <c:pt idx="5">
                  <c:v>SO2 - t/an</c:v>
                </c:pt>
              </c:strCache>
            </c:strRef>
          </c:cat>
          <c:val>
            <c:numRef>
              <c:f>Traitement!$B$7:$G$7</c:f>
              <c:numCache>
                <c:formatCode>_-* #\ ##0_-;\-* #\ ##0_-;_-* "-"??_-;_-@_-</c:formatCode>
                <c:ptCount val="6"/>
                <c:pt idx="0">
                  <c:v>4.0593249394811748</c:v>
                </c:pt>
                <c:pt idx="1">
                  <c:v>0</c:v>
                </c:pt>
                <c:pt idx="2">
                  <c:v>0</c:v>
                </c:pt>
                <c:pt idx="3">
                  <c:v>0</c:v>
                </c:pt>
                <c:pt idx="4">
                  <c:v>0</c:v>
                </c:pt>
                <c:pt idx="5">
                  <c:v>0</c:v>
                </c:pt>
              </c:numCache>
            </c:numRef>
          </c:val>
          <c:extLst>
            <c:ext xmlns:c16="http://schemas.microsoft.com/office/drawing/2014/chart" uri="{C3380CC4-5D6E-409C-BE32-E72D297353CC}">
              <c16:uniqueId val="{00000002-8249-414B-93F8-008E2A45BDAE}"/>
            </c:ext>
          </c:extLst>
        </c:ser>
        <c:ser>
          <c:idx val="3"/>
          <c:order val="3"/>
          <c:tx>
            <c:strRef>
              <c:f>Traitement!$A$8</c:f>
              <c:strCache>
                <c:ptCount val="1"/>
                <c:pt idx="0">
                  <c:v>Déchets</c:v>
                </c:pt>
              </c:strCache>
            </c:strRef>
          </c:tx>
          <c:spPr>
            <a:solidFill>
              <a:schemeClr val="bg1">
                <a:lumMod val="50000"/>
              </a:schemeClr>
            </a:solidFill>
            <a:ln>
              <a:noFill/>
            </a:ln>
            <a:effectLst/>
          </c:spPr>
          <c:invertIfNegative val="0"/>
          <c:cat>
            <c:strRef>
              <c:f>Traitement!$B$4:$G$4</c:f>
              <c:strCache>
                <c:ptCount val="6"/>
                <c:pt idx="0">
                  <c:v>COVNM - t/an</c:v>
                </c:pt>
                <c:pt idx="1">
                  <c:v> NH3 - t/an</c:v>
                </c:pt>
                <c:pt idx="2">
                  <c:v>NOx - t/an</c:v>
                </c:pt>
                <c:pt idx="3">
                  <c:v>PM10 - t/an</c:v>
                </c:pt>
                <c:pt idx="4">
                  <c:v>PM2.5 - t/an</c:v>
                </c:pt>
                <c:pt idx="5">
                  <c:v>SO2 - t/an</c:v>
                </c:pt>
              </c:strCache>
            </c:strRef>
          </c:cat>
          <c:val>
            <c:numRef>
              <c:f>Traitement!$B$8:$G$8</c:f>
              <c:numCache>
                <c:formatCode>_-* #\ ##0_-;\-* #\ ##0_-;_-* "-"??_-;_-@_-</c:formatCode>
                <c:ptCount val="6"/>
                <c:pt idx="0">
                  <c:v>2.7778859608320002E-2</c:v>
                </c:pt>
                <c:pt idx="1">
                  <c:v>5.2007051019355801</c:v>
                </c:pt>
                <c:pt idx="2">
                  <c:v>57.388154537488305</c:v>
                </c:pt>
                <c:pt idx="3">
                  <c:v>4.4444438438419998E-2</c:v>
                </c:pt>
                <c:pt idx="4">
                  <c:v>3.795330171755E-2</c:v>
                </c:pt>
                <c:pt idx="5">
                  <c:v>3.7690192296226002</c:v>
                </c:pt>
              </c:numCache>
            </c:numRef>
          </c:val>
          <c:extLst>
            <c:ext xmlns:c16="http://schemas.microsoft.com/office/drawing/2014/chart" uri="{C3380CC4-5D6E-409C-BE32-E72D297353CC}">
              <c16:uniqueId val="{00000003-8249-414B-93F8-008E2A45BDAE}"/>
            </c:ext>
          </c:extLst>
        </c:ser>
        <c:ser>
          <c:idx val="4"/>
          <c:order val="4"/>
          <c:tx>
            <c:strRef>
              <c:f>Traitement!$A$9</c:f>
              <c:strCache>
                <c:ptCount val="1"/>
                <c:pt idx="0">
                  <c:v>Résidentiel</c:v>
                </c:pt>
              </c:strCache>
            </c:strRef>
          </c:tx>
          <c:spPr>
            <a:solidFill>
              <a:schemeClr val="accent1">
                <a:lumMod val="60000"/>
                <a:lumOff val="40000"/>
              </a:schemeClr>
            </a:solidFill>
            <a:ln>
              <a:noFill/>
            </a:ln>
            <a:effectLst/>
          </c:spPr>
          <c:invertIfNegative val="0"/>
          <c:cat>
            <c:strRef>
              <c:f>Traitement!$B$4:$G$4</c:f>
              <c:strCache>
                <c:ptCount val="6"/>
                <c:pt idx="0">
                  <c:v>COVNM - t/an</c:v>
                </c:pt>
                <c:pt idx="1">
                  <c:v> NH3 - t/an</c:v>
                </c:pt>
                <c:pt idx="2">
                  <c:v>NOx - t/an</c:v>
                </c:pt>
                <c:pt idx="3">
                  <c:v>PM10 - t/an</c:v>
                </c:pt>
                <c:pt idx="4">
                  <c:v>PM2.5 - t/an</c:v>
                </c:pt>
                <c:pt idx="5">
                  <c:v>SO2 - t/an</c:v>
                </c:pt>
              </c:strCache>
            </c:strRef>
          </c:cat>
          <c:val>
            <c:numRef>
              <c:f>Traitement!$B$9:$G$9</c:f>
              <c:numCache>
                <c:formatCode>_-* #\ ##0_-;\-* #\ ##0_-;_-* "-"??_-;_-@_-</c:formatCode>
                <c:ptCount val="6"/>
                <c:pt idx="0">
                  <c:v>564.04449268777284</c:v>
                </c:pt>
                <c:pt idx="1">
                  <c:v>0.29045170495659123</c:v>
                </c:pt>
                <c:pt idx="2">
                  <c:v>66.892692322592197</c:v>
                </c:pt>
                <c:pt idx="3">
                  <c:v>150.92517340414932</c:v>
                </c:pt>
                <c:pt idx="4">
                  <c:v>147.47122511847931</c:v>
                </c:pt>
                <c:pt idx="5">
                  <c:v>14.705978300028001</c:v>
                </c:pt>
              </c:numCache>
            </c:numRef>
          </c:val>
          <c:extLst>
            <c:ext xmlns:c16="http://schemas.microsoft.com/office/drawing/2014/chart" uri="{C3380CC4-5D6E-409C-BE32-E72D297353CC}">
              <c16:uniqueId val="{00000004-8249-414B-93F8-008E2A45BDAE}"/>
            </c:ext>
          </c:extLst>
        </c:ser>
        <c:ser>
          <c:idx val="5"/>
          <c:order val="5"/>
          <c:tx>
            <c:strRef>
              <c:f>Traitement!$A$10</c:f>
              <c:strCache>
                <c:ptCount val="1"/>
                <c:pt idx="0">
                  <c:v>Tertiaire</c:v>
                </c:pt>
              </c:strCache>
            </c:strRef>
          </c:tx>
          <c:spPr>
            <a:solidFill>
              <a:srgbClr val="44546A"/>
            </a:solidFill>
            <a:ln>
              <a:noFill/>
            </a:ln>
            <a:effectLst/>
          </c:spPr>
          <c:invertIfNegative val="0"/>
          <c:cat>
            <c:strRef>
              <c:f>Traitement!$B$4:$G$4</c:f>
              <c:strCache>
                <c:ptCount val="6"/>
                <c:pt idx="0">
                  <c:v>COVNM - t/an</c:v>
                </c:pt>
                <c:pt idx="1">
                  <c:v> NH3 - t/an</c:v>
                </c:pt>
                <c:pt idx="2">
                  <c:v>NOx - t/an</c:v>
                </c:pt>
                <c:pt idx="3">
                  <c:v>PM10 - t/an</c:v>
                </c:pt>
                <c:pt idx="4">
                  <c:v>PM2.5 - t/an</c:v>
                </c:pt>
                <c:pt idx="5">
                  <c:v>SO2 - t/an</c:v>
                </c:pt>
              </c:strCache>
            </c:strRef>
          </c:cat>
          <c:val>
            <c:numRef>
              <c:f>Traitement!$B$10:$G$10</c:f>
              <c:numCache>
                <c:formatCode>_-* #\ ##0_-;\-* #\ ##0_-;_-* "-"??_-;_-@_-</c:formatCode>
                <c:ptCount val="6"/>
                <c:pt idx="0">
                  <c:v>9.1472553120972382</c:v>
                </c:pt>
                <c:pt idx="1">
                  <c:v>0.1988169817724913</c:v>
                </c:pt>
                <c:pt idx="2">
                  <c:v>53.640046802666006</c:v>
                </c:pt>
                <c:pt idx="3">
                  <c:v>1.6291388195582646</c:v>
                </c:pt>
                <c:pt idx="4">
                  <c:v>1.5878102678573236</c:v>
                </c:pt>
                <c:pt idx="5">
                  <c:v>9.1591399174679786</c:v>
                </c:pt>
              </c:numCache>
            </c:numRef>
          </c:val>
          <c:extLst>
            <c:ext xmlns:c16="http://schemas.microsoft.com/office/drawing/2014/chart" uri="{C3380CC4-5D6E-409C-BE32-E72D297353CC}">
              <c16:uniqueId val="{00000005-8249-414B-93F8-008E2A45BDAE}"/>
            </c:ext>
          </c:extLst>
        </c:ser>
        <c:ser>
          <c:idx val="6"/>
          <c:order val="6"/>
          <c:tx>
            <c:strRef>
              <c:f>Traitement!$A$11</c:f>
              <c:strCache>
                <c:ptCount val="1"/>
                <c:pt idx="0">
                  <c:v>Transport routier</c:v>
                </c:pt>
              </c:strCache>
            </c:strRef>
          </c:tx>
          <c:spPr>
            <a:solidFill>
              <a:schemeClr val="accent2">
                <a:lumMod val="60000"/>
                <a:lumOff val="40000"/>
              </a:schemeClr>
            </a:solidFill>
            <a:ln>
              <a:noFill/>
            </a:ln>
            <a:effectLst/>
          </c:spPr>
          <c:invertIfNegative val="0"/>
          <c:cat>
            <c:strRef>
              <c:f>Traitement!$B$4:$G$4</c:f>
              <c:strCache>
                <c:ptCount val="6"/>
                <c:pt idx="0">
                  <c:v>COVNM - t/an</c:v>
                </c:pt>
                <c:pt idx="1">
                  <c:v> NH3 - t/an</c:v>
                </c:pt>
                <c:pt idx="2">
                  <c:v>NOx - t/an</c:v>
                </c:pt>
                <c:pt idx="3">
                  <c:v>PM10 - t/an</c:v>
                </c:pt>
                <c:pt idx="4">
                  <c:v>PM2.5 - t/an</c:v>
                </c:pt>
                <c:pt idx="5">
                  <c:v>SO2 - t/an</c:v>
                </c:pt>
              </c:strCache>
            </c:strRef>
          </c:cat>
          <c:val>
            <c:numRef>
              <c:f>Traitement!$B$11:$G$11</c:f>
              <c:numCache>
                <c:formatCode>_-* #\ ##0_-;\-* #\ ##0_-;_-* "-"??_-;_-@_-</c:formatCode>
                <c:ptCount val="6"/>
                <c:pt idx="0">
                  <c:v>82.701957400126531</c:v>
                </c:pt>
                <c:pt idx="1">
                  <c:v>12.313491851629855</c:v>
                </c:pt>
                <c:pt idx="2">
                  <c:v>1304.007598932621</c:v>
                </c:pt>
                <c:pt idx="3">
                  <c:v>161.23875217279766</c:v>
                </c:pt>
                <c:pt idx="4">
                  <c:v>109.12568341932143</c:v>
                </c:pt>
                <c:pt idx="5">
                  <c:v>0.93410422147607985</c:v>
                </c:pt>
              </c:numCache>
            </c:numRef>
          </c:val>
          <c:extLst>
            <c:ext xmlns:c16="http://schemas.microsoft.com/office/drawing/2014/chart" uri="{C3380CC4-5D6E-409C-BE32-E72D297353CC}">
              <c16:uniqueId val="{00000006-8249-414B-93F8-008E2A45BDAE}"/>
            </c:ext>
          </c:extLst>
        </c:ser>
        <c:ser>
          <c:idx val="7"/>
          <c:order val="7"/>
          <c:tx>
            <c:strRef>
              <c:f>Traitement!$A$12</c:f>
              <c:strCache>
                <c:ptCount val="1"/>
                <c:pt idx="0">
                  <c:v>Autres transports</c:v>
                </c:pt>
              </c:strCache>
            </c:strRef>
          </c:tx>
          <c:spPr>
            <a:solidFill>
              <a:schemeClr val="accent4">
                <a:lumMod val="60000"/>
                <a:lumOff val="40000"/>
              </a:schemeClr>
            </a:solidFill>
            <a:ln>
              <a:noFill/>
            </a:ln>
            <a:effectLst/>
          </c:spPr>
          <c:invertIfNegative val="0"/>
          <c:cat>
            <c:strRef>
              <c:f>Traitement!$B$4:$G$4</c:f>
              <c:strCache>
                <c:ptCount val="6"/>
                <c:pt idx="0">
                  <c:v>COVNM - t/an</c:v>
                </c:pt>
                <c:pt idx="1">
                  <c:v> NH3 - t/an</c:v>
                </c:pt>
                <c:pt idx="2">
                  <c:v>NOx - t/an</c:v>
                </c:pt>
                <c:pt idx="3">
                  <c:v>PM10 - t/an</c:v>
                </c:pt>
                <c:pt idx="4">
                  <c:v>PM2.5 - t/an</c:v>
                </c:pt>
                <c:pt idx="5">
                  <c:v>SO2 - t/an</c:v>
                </c:pt>
              </c:strCache>
            </c:strRef>
          </c:cat>
          <c:val>
            <c:numRef>
              <c:f>Traitement!$B$12:$G$12</c:f>
              <c:numCache>
                <c:formatCode>_-* #\ ##0_-;\-* #\ ##0_-;_-* "-"??_-;_-@_-</c:formatCode>
                <c:ptCount val="6"/>
                <c:pt idx="0">
                  <c:v>2.154964905246143</c:v>
                </c:pt>
                <c:pt idx="1">
                  <c:v>1.0596476301053129E-3</c:v>
                </c:pt>
                <c:pt idx="2">
                  <c:v>20.994840218694453</c:v>
                </c:pt>
                <c:pt idx="3">
                  <c:v>3.4190073581679359</c:v>
                </c:pt>
                <c:pt idx="4">
                  <c:v>1.7238789366327509</c:v>
                </c:pt>
                <c:pt idx="5">
                  <c:v>0.87163510635084651</c:v>
                </c:pt>
              </c:numCache>
            </c:numRef>
          </c:val>
          <c:extLst>
            <c:ext xmlns:c16="http://schemas.microsoft.com/office/drawing/2014/chart" uri="{C3380CC4-5D6E-409C-BE32-E72D297353CC}">
              <c16:uniqueId val="{00000007-8249-414B-93F8-008E2A45BDAE}"/>
            </c:ext>
          </c:extLst>
        </c:ser>
        <c:dLbls>
          <c:showLegendKey val="0"/>
          <c:showVal val="0"/>
          <c:showCatName val="0"/>
          <c:showSerName val="0"/>
          <c:showPercent val="0"/>
          <c:showBubbleSize val="0"/>
        </c:dLbls>
        <c:gapWidth val="219"/>
        <c:overlap val="100"/>
        <c:axId val="921448943"/>
        <c:axId val="1172327231"/>
      </c:barChart>
      <c:catAx>
        <c:axId val="921448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Corps)"/>
                <a:ea typeface="+mn-ea"/>
                <a:cs typeface="+mn-cs"/>
              </a:defRPr>
            </a:pPr>
            <a:endParaRPr lang="fr-FR"/>
          </a:p>
        </c:txPr>
        <c:crossAx val="1172327231"/>
        <c:crosses val="autoZero"/>
        <c:auto val="1"/>
        <c:lblAlgn val="ctr"/>
        <c:lblOffset val="100"/>
        <c:noMultiLvlLbl val="0"/>
      </c:catAx>
      <c:valAx>
        <c:axId val="1172327231"/>
        <c:scaling>
          <c:orientation val="minMax"/>
          <c:max val="2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Corps)"/>
                    <a:ea typeface="+mn-ea"/>
                    <a:cs typeface="+mn-cs"/>
                  </a:defRPr>
                </a:pPr>
                <a:r>
                  <a:rPr lang="fr-FR" sz="900"/>
                  <a:t>Emissions de polluants (tonnes)</a:t>
                </a:r>
              </a:p>
            </c:rich>
          </c:tx>
          <c:layout>
            <c:manualLayout>
              <c:xMode val="edge"/>
              <c:yMode val="edge"/>
              <c:x val="1.6122720575421027E-2"/>
              <c:y val="2.7571369729338231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Corps)"/>
                  <a:ea typeface="+mn-ea"/>
                  <a:cs typeface="+mn-cs"/>
                </a:defRPr>
              </a:pPr>
              <a:endParaRPr lang="fr-FR"/>
            </a:p>
          </c:txPr>
        </c:title>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Corps)"/>
                <a:ea typeface="+mn-ea"/>
                <a:cs typeface="+mn-cs"/>
              </a:defRPr>
            </a:pPr>
            <a:endParaRPr lang="fr-FR"/>
          </a:p>
        </c:txPr>
        <c:crossAx val="921448943"/>
        <c:crosses val="autoZero"/>
        <c:crossBetween val="between"/>
        <c:majorUnit val="1000"/>
      </c:valAx>
      <c:spPr>
        <a:noFill/>
        <a:ln>
          <a:noFill/>
        </a:ln>
        <a:effectLst/>
      </c:spPr>
    </c:plotArea>
    <c:legend>
      <c:legendPos val="b"/>
      <c:layout>
        <c:manualLayout>
          <c:xMode val="edge"/>
          <c:yMode val="edge"/>
          <c:x val="3.1951838999300611E-2"/>
          <c:y val="0.82300752733202331"/>
          <c:w val="0.93554634559332872"/>
          <c:h val="0.163532860554908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Corps)"/>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Corps)"/>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214661094470252"/>
          <c:y val="0.21584034017457454"/>
          <c:w val="0.64761293765855865"/>
          <c:h val="0.75710082372674914"/>
        </c:manualLayout>
      </c:layout>
      <c:doughnutChart>
        <c:varyColors val="1"/>
        <c:ser>
          <c:idx val="0"/>
          <c:order val="0"/>
          <c:dPt>
            <c:idx val="0"/>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1-F1F8-4194-AC28-D759905629C8}"/>
              </c:ext>
            </c:extLst>
          </c:dPt>
          <c:dPt>
            <c:idx val="1"/>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3-F1F8-4194-AC28-D759905629C8}"/>
              </c:ext>
            </c:extLst>
          </c:dPt>
          <c:dPt>
            <c:idx val="2"/>
            <c:bubble3D val="0"/>
            <c:spPr>
              <a:solidFill>
                <a:srgbClr val="C00000"/>
              </a:solidFill>
              <a:ln w="19050">
                <a:solidFill>
                  <a:schemeClr val="lt1"/>
                </a:solidFill>
              </a:ln>
              <a:effectLst/>
            </c:spPr>
            <c:extLst>
              <c:ext xmlns:c16="http://schemas.microsoft.com/office/drawing/2014/chart" uri="{C3380CC4-5D6E-409C-BE32-E72D297353CC}">
                <c16:uniqueId val="{00000005-F1F8-4194-AC28-D759905629C8}"/>
              </c:ext>
            </c:extLst>
          </c:dPt>
          <c:dPt>
            <c:idx val="3"/>
            <c:bubble3D val="0"/>
            <c:spPr>
              <a:solidFill>
                <a:schemeClr val="tx2"/>
              </a:solidFill>
              <a:ln w="19050">
                <a:solidFill>
                  <a:schemeClr val="lt1"/>
                </a:solidFill>
              </a:ln>
              <a:effectLst/>
            </c:spPr>
            <c:extLst>
              <c:ext xmlns:c16="http://schemas.microsoft.com/office/drawing/2014/chart" uri="{C3380CC4-5D6E-409C-BE32-E72D297353CC}">
                <c16:uniqueId val="{00000007-F1F8-4194-AC28-D759905629C8}"/>
              </c:ext>
            </c:extLst>
          </c:dPt>
          <c:dPt>
            <c:idx val="4"/>
            <c:bubble3D val="0"/>
            <c:spPr>
              <a:solidFill>
                <a:schemeClr val="accent3">
                  <a:lumMod val="50000"/>
                </a:schemeClr>
              </a:solidFill>
              <a:ln w="19050">
                <a:solidFill>
                  <a:schemeClr val="lt1"/>
                </a:solidFill>
              </a:ln>
              <a:effectLst/>
            </c:spPr>
            <c:extLst>
              <c:ext xmlns:c16="http://schemas.microsoft.com/office/drawing/2014/chart" uri="{C3380CC4-5D6E-409C-BE32-E72D297353CC}">
                <c16:uniqueId val="{00000009-F1F8-4194-AC28-D759905629C8}"/>
              </c:ext>
            </c:extLst>
          </c:dPt>
          <c:dPt>
            <c:idx val="5"/>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B-F1F8-4194-AC28-D759905629C8}"/>
              </c:ext>
            </c:extLst>
          </c:dPt>
          <c:dPt>
            <c:idx val="6"/>
            <c:bubble3D val="0"/>
            <c:spPr>
              <a:solidFill>
                <a:schemeClr val="tx1">
                  <a:lumMod val="50000"/>
                  <a:lumOff val="50000"/>
                </a:schemeClr>
              </a:solidFill>
              <a:ln w="19050">
                <a:solidFill>
                  <a:schemeClr val="lt1"/>
                </a:solidFill>
              </a:ln>
              <a:effectLst/>
            </c:spPr>
            <c:extLst>
              <c:ext xmlns:c16="http://schemas.microsoft.com/office/drawing/2014/chart" uri="{C3380CC4-5D6E-409C-BE32-E72D297353CC}">
                <c16:uniqueId val="{0000000D-F1F8-4194-AC28-D759905629C8}"/>
              </c:ext>
            </c:extLst>
          </c:dPt>
          <c:dLbls>
            <c:dLbl>
              <c:idx val="0"/>
              <c:layout>
                <c:manualLayout>
                  <c:x val="0.2188412782570974"/>
                  <c:y val="-0.124181899693463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1F8-4194-AC28-D759905629C8}"/>
                </c:ext>
              </c:extLst>
            </c:dLbl>
            <c:dLbl>
              <c:idx val="1"/>
              <c:layout>
                <c:manualLayout>
                  <c:x val="0.29609527738417646"/>
                  <c:y val="4.59124563296617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1F8-4194-AC28-D759905629C8}"/>
                </c:ext>
              </c:extLst>
            </c:dLbl>
            <c:dLbl>
              <c:idx val="2"/>
              <c:layout>
                <c:manualLayout>
                  <c:x val="-0.17697819051011779"/>
                  <c:y val="-1.37523827537180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1F8-4194-AC28-D759905629C8}"/>
                </c:ext>
              </c:extLst>
            </c:dLbl>
            <c:dLbl>
              <c:idx val="3"/>
              <c:layout>
                <c:manualLayout>
                  <c:x val="-0.17697819051011779"/>
                  <c:y val="-8.709842410688019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1F8-4194-AC28-D759905629C8}"/>
                </c:ext>
              </c:extLst>
            </c:dLbl>
            <c:dLbl>
              <c:idx val="4"/>
              <c:layout>
                <c:manualLayout>
                  <c:x val="-0.25497318529944579"/>
                  <c:y val="-0.180381841686342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1F8-4194-AC28-D759905629C8}"/>
                </c:ext>
              </c:extLst>
            </c:dLbl>
            <c:dLbl>
              <c:idx val="5"/>
              <c:layout>
                <c:manualLayout>
                  <c:x val="-2.8996107832762363E-2"/>
                  <c:y val="-0.20369576598040579"/>
                </c:manualLayout>
              </c:layout>
              <c:tx>
                <c:rich>
                  <a:bodyPr/>
                  <a:lstStyle/>
                  <a:p>
                    <a:fld id="{95E0E100-8E1B-46ED-AC79-97E6FDA1D5E1}" type="CATEGORYNAME">
                      <a:rPr lang="en-US"/>
                      <a:pPr/>
                      <a:t>[NOM DE CATÉGORIE]</a:t>
                    </a:fld>
                    <a:r>
                      <a:rPr lang="en-US" baseline="0"/>
                      <a:t>
&lt; 1%</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F1F8-4194-AC28-D759905629C8}"/>
                </c:ext>
              </c:extLst>
            </c:dLbl>
            <c:dLbl>
              <c:idx val="6"/>
              <c:layout>
                <c:manualLayout>
                  <c:x val="0.16720499345326709"/>
                  <c:y val="-0.2110278955971751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F1F8-4194-AC28-D759905629C8}"/>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Analyse!$A$6:$A$12</c:f>
              <c:strCache>
                <c:ptCount val="7"/>
                <c:pt idx="0">
                  <c:v>Résidentiel</c:v>
                </c:pt>
                <c:pt idx="1">
                  <c:v>Transport routier</c:v>
                </c:pt>
                <c:pt idx="2">
                  <c:v>Industrie hors branche énergie</c:v>
                </c:pt>
                <c:pt idx="3">
                  <c:v>Tertiaire</c:v>
                </c:pt>
                <c:pt idx="4">
                  <c:v>Agriculture</c:v>
                </c:pt>
                <c:pt idx="5">
                  <c:v>Transport non routier</c:v>
                </c:pt>
                <c:pt idx="6">
                  <c:v>Déchets</c:v>
                </c:pt>
              </c:strCache>
            </c:strRef>
          </c:cat>
          <c:val>
            <c:numRef>
              <c:f>Analyse!$B$6:$B$12</c:f>
              <c:numCache>
                <c:formatCode>#,##0</c:formatCode>
                <c:ptCount val="7"/>
                <c:pt idx="0">
                  <c:v>653544893.10281062</c:v>
                </c:pt>
                <c:pt idx="1">
                  <c:v>1679841791.1189313</c:v>
                </c:pt>
                <c:pt idx="2">
                  <c:v>448243660.76258433</c:v>
                </c:pt>
                <c:pt idx="3">
                  <c:v>423443842.21435285</c:v>
                </c:pt>
                <c:pt idx="4">
                  <c:v>94033514.624975637</c:v>
                </c:pt>
                <c:pt idx="5">
                  <c:v>13161584.455141891</c:v>
                </c:pt>
                <c:pt idx="6">
                  <c:v>161328446.72240201</c:v>
                </c:pt>
              </c:numCache>
            </c:numRef>
          </c:val>
          <c:extLst>
            <c:ext xmlns:c16="http://schemas.microsoft.com/office/drawing/2014/chart" uri="{C3380CC4-5D6E-409C-BE32-E72D297353CC}">
              <c16:uniqueId val="{0000000E-F1F8-4194-AC28-D759905629C8}"/>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fr-F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997688757455911"/>
          <c:y val="0.22575283923973546"/>
          <c:w val="0.62511897156884555"/>
          <c:h val="0.74437504674195232"/>
        </c:manualLayout>
      </c:layout>
      <c:doughnutChart>
        <c:varyColors val="1"/>
        <c:ser>
          <c:idx val="0"/>
          <c:order val="0"/>
          <c:dPt>
            <c:idx val="0"/>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1-6D9F-48C4-9D73-B5CCFCDAB706}"/>
              </c:ext>
            </c:extLst>
          </c:dPt>
          <c:dPt>
            <c:idx val="1"/>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3-6D9F-48C4-9D73-B5CCFCDAB706}"/>
              </c:ext>
            </c:extLst>
          </c:dPt>
          <c:dPt>
            <c:idx val="2"/>
            <c:bubble3D val="0"/>
            <c:spPr>
              <a:solidFill>
                <a:srgbClr val="C00000"/>
              </a:solidFill>
              <a:ln w="19050">
                <a:solidFill>
                  <a:schemeClr val="lt1"/>
                </a:solidFill>
              </a:ln>
              <a:effectLst/>
            </c:spPr>
            <c:extLst>
              <c:ext xmlns:c16="http://schemas.microsoft.com/office/drawing/2014/chart" uri="{C3380CC4-5D6E-409C-BE32-E72D297353CC}">
                <c16:uniqueId val="{00000005-6D9F-48C4-9D73-B5CCFCDAB706}"/>
              </c:ext>
            </c:extLst>
          </c:dPt>
          <c:dPt>
            <c:idx val="3"/>
            <c:bubble3D val="0"/>
            <c:spPr>
              <a:solidFill>
                <a:schemeClr val="tx2"/>
              </a:solidFill>
              <a:ln w="19050">
                <a:solidFill>
                  <a:schemeClr val="lt1"/>
                </a:solidFill>
              </a:ln>
              <a:effectLst/>
            </c:spPr>
            <c:extLst>
              <c:ext xmlns:c16="http://schemas.microsoft.com/office/drawing/2014/chart" uri="{C3380CC4-5D6E-409C-BE32-E72D297353CC}">
                <c16:uniqueId val="{00000007-6D9F-48C4-9D73-B5CCFCDAB706}"/>
              </c:ext>
            </c:extLst>
          </c:dPt>
          <c:dPt>
            <c:idx val="4"/>
            <c:bubble3D val="0"/>
            <c:spPr>
              <a:solidFill>
                <a:schemeClr val="accent3">
                  <a:lumMod val="50000"/>
                </a:schemeClr>
              </a:solidFill>
              <a:ln w="19050">
                <a:solidFill>
                  <a:schemeClr val="lt1"/>
                </a:solidFill>
              </a:ln>
              <a:effectLst/>
            </c:spPr>
            <c:extLst>
              <c:ext xmlns:c16="http://schemas.microsoft.com/office/drawing/2014/chart" uri="{C3380CC4-5D6E-409C-BE32-E72D297353CC}">
                <c16:uniqueId val="{00000009-6D9F-48C4-9D73-B5CCFCDAB706}"/>
              </c:ext>
            </c:extLst>
          </c:dPt>
          <c:dPt>
            <c:idx val="5"/>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B-6D9F-48C4-9D73-B5CCFCDAB706}"/>
              </c:ext>
            </c:extLst>
          </c:dPt>
          <c:dPt>
            <c:idx val="6"/>
            <c:bubble3D val="0"/>
            <c:spPr>
              <a:solidFill>
                <a:schemeClr val="tx1">
                  <a:lumMod val="50000"/>
                  <a:lumOff val="50000"/>
                </a:schemeClr>
              </a:solidFill>
              <a:ln w="19050">
                <a:solidFill>
                  <a:schemeClr val="lt1"/>
                </a:solidFill>
              </a:ln>
              <a:effectLst/>
            </c:spPr>
            <c:extLst>
              <c:ext xmlns:c16="http://schemas.microsoft.com/office/drawing/2014/chart" uri="{C3380CC4-5D6E-409C-BE32-E72D297353CC}">
                <c16:uniqueId val="{0000000D-6D9F-48C4-9D73-B5CCFCDAB706}"/>
              </c:ext>
            </c:extLst>
          </c:dPt>
          <c:dLbls>
            <c:dLbl>
              <c:idx val="0"/>
              <c:layout>
                <c:manualLayout>
                  <c:x val="0.19099918295082069"/>
                  <c:y val="-0.2028738494149579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D9F-48C4-9D73-B5CCFCDAB706}"/>
                </c:ext>
              </c:extLst>
            </c:dLbl>
            <c:dLbl>
              <c:idx val="1"/>
              <c:layout>
                <c:manualLayout>
                  <c:x val="0.24745978653306441"/>
                  <c:y val="6.276135428797316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D9F-48C4-9D73-B5CCFCDAB706}"/>
                </c:ext>
              </c:extLst>
            </c:dLbl>
            <c:dLbl>
              <c:idx val="2"/>
              <c:layout>
                <c:manualLayout>
                  <c:x val="-0.19568687687967903"/>
                  <c:y val="0.17825532324063281"/>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15:layout>
                    <c:manualLayout>
                      <c:w val="0.25088860815825548"/>
                      <c:h val="0.2404508595177299"/>
                    </c:manualLayout>
                  </c15:layout>
                </c:ext>
                <c:ext xmlns:c16="http://schemas.microsoft.com/office/drawing/2014/chart" uri="{C3380CC4-5D6E-409C-BE32-E72D297353CC}">
                  <c16:uniqueId val="{00000005-6D9F-48C4-9D73-B5CCFCDAB706}"/>
                </c:ext>
              </c:extLst>
            </c:dLbl>
            <c:dLbl>
              <c:idx val="3"/>
              <c:layout>
                <c:manualLayout>
                  <c:x val="-0.16666666666666669"/>
                  <c:y val="4.6296296296296294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D9F-48C4-9D73-B5CCFCDAB706}"/>
                </c:ext>
              </c:extLst>
            </c:dLbl>
            <c:dLbl>
              <c:idx val="4"/>
              <c:layout>
                <c:manualLayout>
                  <c:x val="-0.21359937000866835"/>
                  <c:y val="-7.870373264268712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D9F-48C4-9D73-B5CCFCDAB706}"/>
                </c:ext>
              </c:extLst>
            </c:dLbl>
            <c:dLbl>
              <c:idx val="5"/>
              <c:layout>
                <c:manualLayout>
                  <c:x val="-0.20681197574730439"/>
                  <c:y val="-0.18189540154923112"/>
                </c:manualLayout>
              </c:layout>
              <c:tx>
                <c:rich>
                  <a:bodyPr/>
                  <a:lstStyle/>
                  <a:p>
                    <a:fld id="{F85C6E4F-F330-404E-9D2D-F93A18AEE5DA}" type="CATEGORYNAME">
                      <a:rPr lang="en-US"/>
                      <a:pPr/>
                      <a:t>[NOM DE CATÉGORIE]</a:t>
                    </a:fld>
                    <a:r>
                      <a:rPr lang="en-US" baseline="0"/>
                      <a:t>
&lt; 1%</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6D9F-48C4-9D73-B5CCFCDAB706}"/>
                </c:ext>
              </c:extLst>
            </c:dLbl>
            <c:dLbl>
              <c:idx val="6"/>
              <c:layout>
                <c:manualLayout>
                  <c:x val="2.1541211177226367E-2"/>
                  <c:y val="-0.2329157362792337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6D9F-48C4-9D73-B5CCFCDAB70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Analyse!$A$27:$A$33</c:f>
              <c:strCache>
                <c:ptCount val="7"/>
                <c:pt idx="0">
                  <c:v>Résidentiel</c:v>
                </c:pt>
                <c:pt idx="1">
                  <c:v>Transport routier</c:v>
                </c:pt>
                <c:pt idx="2">
                  <c:v>Industrie hors branche énergie</c:v>
                </c:pt>
                <c:pt idx="3">
                  <c:v>Tertiaire</c:v>
                </c:pt>
                <c:pt idx="4">
                  <c:v>Agriculture</c:v>
                </c:pt>
                <c:pt idx="5">
                  <c:v>Transport non routier</c:v>
                </c:pt>
                <c:pt idx="6">
                  <c:v>Déchets</c:v>
                </c:pt>
              </c:strCache>
            </c:strRef>
          </c:cat>
          <c:val>
            <c:numRef>
              <c:f>Analyse!$B$27:$B$33</c:f>
              <c:numCache>
                <c:formatCode>#,##0</c:formatCode>
                <c:ptCount val="7"/>
                <c:pt idx="0">
                  <c:v>101190.51682992598</c:v>
                </c:pt>
                <c:pt idx="1">
                  <c:v>507798.28027984139</c:v>
                </c:pt>
                <c:pt idx="2">
                  <c:v>73138.741770063556</c:v>
                </c:pt>
                <c:pt idx="3">
                  <c:v>72216.65088353568</c:v>
                </c:pt>
                <c:pt idx="4">
                  <c:v>160220.85415322465</c:v>
                </c:pt>
                <c:pt idx="5">
                  <c:v>4026.2772614813839</c:v>
                </c:pt>
                <c:pt idx="6">
                  <c:v>17683.461899999998</c:v>
                </c:pt>
              </c:numCache>
            </c:numRef>
          </c:val>
          <c:extLst>
            <c:ext xmlns:c16="http://schemas.microsoft.com/office/drawing/2014/chart" uri="{C3380CC4-5D6E-409C-BE32-E72D297353CC}">
              <c16:uniqueId val="{0000000E-6D9F-48C4-9D73-B5CCFCDAB706}"/>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fr-F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514126633752372"/>
          <c:y val="0.22581043086806418"/>
          <c:w val="0.40811103632966383"/>
          <c:h val="0.69457758268517555"/>
        </c:manualLayout>
      </c:layout>
      <c:doughnutChart>
        <c:varyColors val="1"/>
        <c:ser>
          <c:idx val="0"/>
          <c:order val="0"/>
          <c:dPt>
            <c:idx val="0"/>
            <c:bubble3D val="0"/>
            <c:spPr>
              <a:solidFill>
                <a:srgbClr val="FDEEA1"/>
              </a:solidFill>
              <a:ln w="19050">
                <a:solidFill>
                  <a:schemeClr val="lt1"/>
                </a:solidFill>
              </a:ln>
              <a:effectLst/>
            </c:spPr>
            <c:extLst>
              <c:ext xmlns:c16="http://schemas.microsoft.com/office/drawing/2014/chart" uri="{C3380CC4-5D6E-409C-BE32-E72D297353CC}">
                <c16:uniqueId val="{00000001-9B2C-4A81-B826-F09E717E24A5}"/>
              </c:ext>
            </c:extLst>
          </c:dPt>
          <c:dPt>
            <c:idx val="1"/>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3-9B2C-4A81-B826-F09E717E24A5}"/>
              </c:ext>
            </c:extLst>
          </c:dPt>
          <c:dPt>
            <c:idx val="2"/>
            <c:bubble3D val="0"/>
            <c:spPr>
              <a:solidFill>
                <a:srgbClr val="FAD72A"/>
              </a:solidFill>
              <a:ln w="19050">
                <a:solidFill>
                  <a:schemeClr val="lt1"/>
                </a:solidFill>
              </a:ln>
              <a:effectLst/>
            </c:spPr>
            <c:extLst>
              <c:ext xmlns:c16="http://schemas.microsoft.com/office/drawing/2014/chart" uri="{C3380CC4-5D6E-409C-BE32-E72D297353CC}">
                <c16:uniqueId val="{00000005-9B2C-4A81-B826-F09E717E24A5}"/>
              </c:ext>
            </c:extLst>
          </c:dPt>
          <c:dPt>
            <c:idx val="3"/>
            <c:bubble3D val="0"/>
            <c:spPr>
              <a:solidFill>
                <a:srgbClr val="C8A704"/>
              </a:solidFill>
              <a:ln w="19050">
                <a:solidFill>
                  <a:schemeClr val="lt1"/>
                </a:solidFill>
              </a:ln>
              <a:effectLst/>
            </c:spPr>
            <c:extLst>
              <c:ext xmlns:c16="http://schemas.microsoft.com/office/drawing/2014/chart" uri="{C3380CC4-5D6E-409C-BE32-E72D297353CC}">
                <c16:uniqueId val="{00000007-9B2C-4A81-B826-F09E717E24A5}"/>
              </c:ext>
            </c:extLst>
          </c:dPt>
          <c:dPt>
            <c:idx val="4"/>
            <c:bubble3D val="0"/>
            <c:spPr>
              <a:solidFill>
                <a:srgbClr val="9BBB59">
                  <a:lumMod val="50000"/>
                </a:srgbClr>
              </a:solidFill>
              <a:ln w="19050">
                <a:solidFill>
                  <a:schemeClr val="lt1"/>
                </a:solidFill>
              </a:ln>
              <a:effectLst/>
            </c:spPr>
            <c:extLst>
              <c:ext xmlns:c16="http://schemas.microsoft.com/office/drawing/2014/chart" uri="{C3380CC4-5D6E-409C-BE32-E72D297353CC}">
                <c16:uniqueId val="{00000009-9B2C-4A81-B826-F09E717E24A5}"/>
              </c:ext>
            </c:extLst>
          </c:dPt>
          <c:dPt>
            <c:idx val="5"/>
            <c:bubble3D val="0"/>
            <c:spPr>
              <a:solidFill>
                <a:srgbClr val="642F04"/>
              </a:solidFill>
              <a:ln w="19050">
                <a:solidFill>
                  <a:schemeClr val="lt1"/>
                </a:solidFill>
              </a:ln>
              <a:effectLst/>
            </c:spPr>
            <c:extLst>
              <c:ext xmlns:c16="http://schemas.microsoft.com/office/drawing/2014/chart" uri="{C3380CC4-5D6E-409C-BE32-E72D297353CC}">
                <c16:uniqueId val="{0000000B-9B2C-4A81-B826-F09E717E24A5}"/>
              </c:ext>
            </c:extLst>
          </c:dPt>
          <c:dPt>
            <c:idx val="6"/>
            <c:bubble3D val="0"/>
            <c:spPr>
              <a:solidFill>
                <a:srgbClr val="F79646">
                  <a:lumMod val="50000"/>
                </a:srgbClr>
              </a:solidFill>
              <a:ln w="19050">
                <a:solidFill>
                  <a:schemeClr val="lt1"/>
                </a:solidFill>
              </a:ln>
              <a:effectLst/>
            </c:spPr>
            <c:extLst>
              <c:ext xmlns:c16="http://schemas.microsoft.com/office/drawing/2014/chart" uri="{C3380CC4-5D6E-409C-BE32-E72D297353CC}">
                <c16:uniqueId val="{0000000D-9B2C-4A81-B826-F09E717E24A5}"/>
              </c:ext>
            </c:extLst>
          </c:dPt>
          <c:dPt>
            <c:idx val="7"/>
            <c:bubble3D val="0"/>
            <c:spPr>
              <a:solidFill>
                <a:srgbClr val="F79646">
                  <a:lumMod val="75000"/>
                </a:srgbClr>
              </a:solidFill>
              <a:ln w="19050">
                <a:solidFill>
                  <a:schemeClr val="lt1"/>
                </a:solidFill>
              </a:ln>
              <a:effectLst/>
            </c:spPr>
            <c:extLst>
              <c:ext xmlns:c16="http://schemas.microsoft.com/office/drawing/2014/chart" uri="{C3380CC4-5D6E-409C-BE32-E72D297353CC}">
                <c16:uniqueId val="{0000000F-9B2C-4A81-B826-F09E717E24A5}"/>
              </c:ext>
            </c:extLst>
          </c:dPt>
          <c:dPt>
            <c:idx val="8"/>
            <c:bubble3D val="0"/>
            <c:spPr>
              <a:solidFill>
                <a:srgbClr val="F79646"/>
              </a:solidFill>
              <a:ln w="19050">
                <a:solidFill>
                  <a:schemeClr val="lt1"/>
                </a:solidFill>
              </a:ln>
              <a:effectLst/>
            </c:spPr>
            <c:extLst>
              <c:ext xmlns:c16="http://schemas.microsoft.com/office/drawing/2014/chart" uri="{C3380CC4-5D6E-409C-BE32-E72D297353CC}">
                <c16:uniqueId val="{00000011-9B2C-4A81-B826-F09E717E24A5}"/>
              </c:ext>
            </c:extLst>
          </c:dPt>
          <c:dPt>
            <c:idx val="9"/>
            <c:bubble3D val="0"/>
            <c:spPr>
              <a:solidFill>
                <a:srgbClr val="F79646">
                  <a:lumMod val="60000"/>
                  <a:lumOff val="40000"/>
                </a:srgbClr>
              </a:solidFill>
              <a:ln w="19050">
                <a:solidFill>
                  <a:schemeClr val="lt1"/>
                </a:solidFill>
              </a:ln>
              <a:effectLst/>
            </c:spPr>
            <c:extLst>
              <c:ext xmlns:c16="http://schemas.microsoft.com/office/drawing/2014/chart" uri="{C3380CC4-5D6E-409C-BE32-E72D297353CC}">
                <c16:uniqueId val="{00000013-9B2C-4A81-B826-F09E717E24A5}"/>
              </c:ext>
            </c:extLst>
          </c:dPt>
          <c:dPt>
            <c:idx val="10"/>
            <c:bubble3D val="0"/>
            <c:spPr>
              <a:solidFill>
                <a:srgbClr val="F79646">
                  <a:lumMod val="20000"/>
                  <a:lumOff val="80000"/>
                </a:srgbClr>
              </a:solidFill>
              <a:ln w="19050">
                <a:solidFill>
                  <a:schemeClr val="lt1"/>
                </a:solidFill>
              </a:ln>
              <a:effectLst/>
            </c:spPr>
            <c:extLst>
              <c:ext xmlns:c16="http://schemas.microsoft.com/office/drawing/2014/chart" uri="{C3380CC4-5D6E-409C-BE32-E72D297353CC}">
                <c16:uniqueId val="{00000015-9B2C-4A81-B826-F09E717E24A5}"/>
              </c:ext>
            </c:extLst>
          </c:dPt>
          <c:dLbls>
            <c:dLbl>
              <c:idx val="0"/>
              <c:layout>
                <c:manualLayout>
                  <c:x val="1.0335998795129689E-2"/>
                  <c:y val="-0.19508078275566521"/>
                </c:manualLayout>
              </c:layout>
              <c:showLegendKey val="0"/>
              <c:showVal val="0"/>
              <c:showCatName val="1"/>
              <c:showSerName val="0"/>
              <c:showPercent val="1"/>
              <c:showBubbleSize val="0"/>
              <c:extLst>
                <c:ext xmlns:c15="http://schemas.microsoft.com/office/drawing/2012/chart" uri="{CE6537A1-D6FC-4f65-9D91-7224C49458BB}">
                  <c15:layout>
                    <c:manualLayout>
                      <c:w val="0.1896061109516122"/>
                      <c:h val="0.20556964458791582"/>
                    </c:manualLayout>
                  </c15:layout>
                </c:ext>
                <c:ext xmlns:c16="http://schemas.microsoft.com/office/drawing/2014/chart" uri="{C3380CC4-5D6E-409C-BE32-E72D297353CC}">
                  <c16:uniqueId val="{00000001-9B2C-4A81-B826-F09E717E24A5}"/>
                </c:ext>
              </c:extLst>
            </c:dLbl>
            <c:dLbl>
              <c:idx val="1"/>
              <c:layout>
                <c:manualLayout>
                  <c:x val="0.26605475570783788"/>
                  <c:y val="-0.2436891726275823"/>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85263BFF-2F67-44ED-94A8-ECA707D8827A}" type="CATEGORYNAME">
                      <a:rPr lang="en-US"/>
                      <a:pPr>
                        <a:defRPr/>
                      </a:pPr>
                      <a:t>[NOM DE CATÉGORIE]</a:t>
                    </a:fld>
                    <a:r>
                      <a:rPr lang="en-US" baseline="0"/>
                      <a:t>
&lt; 1%</a:t>
                    </a:r>
                  </a:p>
                </c:rich>
              </c:tx>
              <c:spPr>
                <a:no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9783452800617494"/>
                      <c:h val="0.12270904590639291"/>
                    </c:manualLayout>
                  </c15:layout>
                  <c15:dlblFieldTable/>
                  <c15:showDataLabelsRange val="0"/>
                </c:ext>
                <c:ext xmlns:c16="http://schemas.microsoft.com/office/drawing/2014/chart" uri="{C3380CC4-5D6E-409C-BE32-E72D297353CC}">
                  <c16:uniqueId val="{00000003-9B2C-4A81-B826-F09E717E24A5}"/>
                </c:ext>
              </c:extLst>
            </c:dLbl>
            <c:dLbl>
              <c:idx val="2"/>
              <c:delete val="1"/>
              <c:extLst>
                <c:ext xmlns:c15="http://schemas.microsoft.com/office/drawing/2012/chart" uri="{CE6537A1-D6FC-4f65-9D91-7224C49458BB}"/>
                <c:ext xmlns:c16="http://schemas.microsoft.com/office/drawing/2014/chart" uri="{C3380CC4-5D6E-409C-BE32-E72D297353CC}">
                  <c16:uniqueId val="{00000005-9B2C-4A81-B826-F09E717E24A5}"/>
                </c:ext>
              </c:extLst>
            </c:dLbl>
            <c:dLbl>
              <c:idx val="3"/>
              <c:layout>
                <c:manualLayout>
                  <c:x val="0.20760470840726492"/>
                  <c:y val="-0.12789548305444529"/>
                </c:manualLayout>
              </c:layout>
              <c:showLegendKey val="0"/>
              <c:showVal val="0"/>
              <c:showCatName val="1"/>
              <c:showSerName val="0"/>
              <c:showPercent val="1"/>
              <c:showBubbleSize val="0"/>
              <c:extLst>
                <c:ext xmlns:c15="http://schemas.microsoft.com/office/drawing/2012/chart" uri="{CE6537A1-D6FC-4f65-9D91-7224C49458BB}">
                  <c15:layout>
                    <c:manualLayout>
                      <c:w val="0.17559761096808504"/>
                      <c:h val="0.15673953268557608"/>
                    </c:manualLayout>
                  </c15:layout>
                </c:ext>
                <c:ext xmlns:c16="http://schemas.microsoft.com/office/drawing/2014/chart" uri="{C3380CC4-5D6E-409C-BE32-E72D297353CC}">
                  <c16:uniqueId val="{00000007-9B2C-4A81-B826-F09E717E24A5}"/>
                </c:ext>
              </c:extLst>
            </c:dLbl>
            <c:dLbl>
              <c:idx val="4"/>
              <c:layout>
                <c:manualLayout>
                  <c:x val="0.21945206639964984"/>
                  <c:y val="-5.194895907594463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B2C-4A81-B826-F09E717E24A5}"/>
                </c:ext>
              </c:extLst>
            </c:dLbl>
            <c:dLbl>
              <c:idx val="5"/>
              <c:layout>
                <c:manualLayout>
                  <c:x val="0.2611194939544691"/>
                  <c:y val="-2.133401686945795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B2C-4A81-B826-F09E717E24A5}"/>
                </c:ext>
              </c:extLst>
            </c:dLbl>
            <c:dLbl>
              <c:idx val="6"/>
              <c:layout>
                <c:manualLayout>
                  <c:x val="0.26941126083088984"/>
                  <c:y val="4.5734814684278403E-2"/>
                </c:manualLayout>
              </c:layout>
              <c:showLegendKey val="0"/>
              <c:showVal val="0"/>
              <c:showCatName val="1"/>
              <c:showSerName val="0"/>
              <c:showPercent val="1"/>
              <c:showBubbleSize val="0"/>
              <c:extLst>
                <c:ext xmlns:c15="http://schemas.microsoft.com/office/drawing/2012/chart" uri="{CE6537A1-D6FC-4f65-9D91-7224C49458BB}">
                  <c15:layout>
                    <c:manualLayout>
                      <c:w val="0.29097260331998248"/>
                      <c:h val="0.14811159795259565"/>
                    </c:manualLayout>
                  </c15:layout>
                </c:ext>
                <c:ext xmlns:c16="http://schemas.microsoft.com/office/drawing/2014/chart" uri="{C3380CC4-5D6E-409C-BE32-E72D297353CC}">
                  <c16:uniqueId val="{0000000D-9B2C-4A81-B826-F09E717E24A5}"/>
                </c:ext>
              </c:extLst>
            </c:dLbl>
            <c:dLbl>
              <c:idx val="7"/>
              <c:layout>
                <c:manualLayout>
                  <c:x val="0.28530971285493079"/>
                  <c:y val="0.10879486707091421"/>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61FFDE8B-21DF-4F76-AC5F-1B1DD6FD0DCC}" type="CATEGORYNAME">
                      <a:rPr lang="en-US"/>
                      <a:pPr>
                        <a:defRPr/>
                      </a:pPr>
                      <a:t>[NOM DE CATÉGORIE]</a:t>
                    </a:fld>
                    <a:r>
                      <a:rPr lang="en-US" baseline="0"/>
                      <a:t>
&lt; 1%</a:t>
                    </a:r>
                  </a:p>
                </c:rich>
              </c:tx>
              <c:spPr>
                <a:no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32121993119060949"/>
                      <c:h val="0.11730473161861889"/>
                    </c:manualLayout>
                  </c15:layout>
                  <c15:dlblFieldTable/>
                  <c15:showDataLabelsRange val="0"/>
                </c:ext>
                <c:ext xmlns:c16="http://schemas.microsoft.com/office/drawing/2014/chart" uri="{C3380CC4-5D6E-409C-BE32-E72D297353CC}">
                  <c16:uniqueId val="{0000000F-9B2C-4A81-B826-F09E717E24A5}"/>
                </c:ext>
              </c:extLst>
            </c:dLbl>
            <c:dLbl>
              <c:idx val="8"/>
              <c:layout>
                <c:manualLayout>
                  <c:x val="0.22364407377948051"/>
                  <c:y val="0.26641536033835039"/>
                </c:manualLayout>
              </c:layout>
              <c:showLegendKey val="0"/>
              <c:showVal val="0"/>
              <c:showCatName val="1"/>
              <c:showSerName val="0"/>
              <c:showPercent val="1"/>
              <c:showBubbleSize val="0"/>
              <c:extLst>
                <c:ext xmlns:c15="http://schemas.microsoft.com/office/drawing/2012/chart" uri="{CE6537A1-D6FC-4f65-9D91-7224C49458BB}">
                  <c15:layout>
                    <c:manualLayout>
                      <c:w val="0.22583373731003289"/>
                      <c:h val="0.14789692488845813"/>
                    </c:manualLayout>
                  </c15:layout>
                </c:ext>
                <c:ext xmlns:c16="http://schemas.microsoft.com/office/drawing/2014/chart" uri="{C3380CC4-5D6E-409C-BE32-E72D297353CC}">
                  <c16:uniqueId val="{00000011-9B2C-4A81-B826-F09E717E24A5}"/>
                </c:ext>
              </c:extLst>
            </c:dLbl>
            <c:dLbl>
              <c:idx val="9"/>
              <c:layout>
                <c:manualLayout>
                  <c:x val="-0.20083682008368201"/>
                  <c:y val="8.952187182095625E-2"/>
                </c:manualLayout>
              </c:layout>
              <c:spPr>
                <a:no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13-9B2C-4A81-B826-F09E717E24A5}"/>
                </c:ext>
              </c:extLst>
            </c:dLbl>
            <c:dLbl>
              <c:idx val="10"/>
              <c:layout>
                <c:manualLayout>
                  <c:x val="-0.18682417835845833"/>
                  <c:y val="-0.2075279755849440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9B2C-4A81-B826-F09E717E24A5}"/>
                </c:ext>
              </c:extLst>
            </c:dLbl>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Traitement!$J$17:$J$27</c:f>
              <c:strCache>
                <c:ptCount val="11"/>
                <c:pt idx="0">
                  <c:v>Electricité - Valorisation des déchets</c:v>
                </c:pt>
                <c:pt idx="1">
                  <c:v>Electricité - Eolien terrestre</c:v>
                </c:pt>
                <c:pt idx="2">
                  <c:v>Electricité - Solaire photovoltaïque</c:v>
                </c:pt>
                <c:pt idx="3">
                  <c:v>Electricité - Méthanisation</c:v>
                </c:pt>
                <c:pt idx="4">
                  <c:v>Biométhane - Méthanisation</c:v>
                </c:pt>
                <c:pt idx="5">
                  <c:v>Chaleur - Méthanisation</c:v>
                </c:pt>
                <c:pt idx="6">
                  <c:v>Chaleur - Valorisation des déchets</c:v>
                </c:pt>
                <c:pt idx="7">
                  <c:v>Chaleur - Solaire thermique</c:v>
                </c:pt>
                <c:pt idx="8">
                  <c:v>Chaleur - Bois-énergie (chaufferies)</c:v>
                </c:pt>
                <c:pt idx="9">
                  <c:v>Chaleur - Bois-énergie domestique)</c:v>
                </c:pt>
                <c:pt idx="10">
                  <c:v>Chaleur - Pompe à chaleur - Géothermie</c:v>
                </c:pt>
              </c:strCache>
            </c:strRef>
          </c:cat>
          <c:val>
            <c:numRef>
              <c:f>Traitement!$K$17:$K$27</c:f>
              <c:numCache>
                <c:formatCode>0.00</c:formatCode>
                <c:ptCount val="11"/>
                <c:pt idx="0" formatCode="0.0">
                  <c:v>12.766500000000001</c:v>
                </c:pt>
                <c:pt idx="1">
                  <c:v>4.4999999999999998E-2</c:v>
                </c:pt>
                <c:pt idx="2" formatCode="0.0">
                  <c:v>6.3460000000000001</c:v>
                </c:pt>
                <c:pt idx="3" formatCode="0.0">
                  <c:v>1.4390000000000001</c:v>
                </c:pt>
                <c:pt idx="4" formatCode="0.0">
                  <c:v>23.922799999999999</c:v>
                </c:pt>
                <c:pt idx="5" formatCode="0.0">
                  <c:v>7.0309999999999997</c:v>
                </c:pt>
                <c:pt idx="6" formatCode="0.0">
                  <c:v>16.013500000000001</c:v>
                </c:pt>
                <c:pt idx="7" formatCode="0.0">
                  <c:v>0.97799999999999998</c:v>
                </c:pt>
                <c:pt idx="8" formatCode="0.0">
                  <c:v>1.216</c:v>
                </c:pt>
                <c:pt idx="9" formatCode="0.0">
                  <c:v>110.375</c:v>
                </c:pt>
                <c:pt idx="10" formatCode="0.0">
                  <c:v>54.832000000000001</c:v>
                </c:pt>
              </c:numCache>
            </c:numRef>
          </c:val>
          <c:extLst>
            <c:ext xmlns:c16="http://schemas.microsoft.com/office/drawing/2014/chart" uri="{C3380CC4-5D6E-409C-BE32-E72D297353CC}">
              <c16:uniqueId val="{00000016-9B2C-4A81-B826-F09E717E24A5}"/>
            </c:ext>
          </c:extLst>
        </c:ser>
        <c:dLbls>
          <c:showLegendKey val="0"/>
          <c:showVal val="0"/>
          <c:showCatName val="0"/>
          <c:showSerName val="0"/>
          <c:showPercent val="0"/>
          <c:showBubbleSize val="0"/>
          <c:showLeaderLines val="1"/>
        </c:dLbls>
        <c:firstSliceAng val="0"/>
        <c:holeSize val="6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fr-F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v>Résidentiel</c:v>
          </c:tx>
          <c:spPr>
            <a:solidFill>
              <a:schemeClr val="accent1">
                <a:lumMod val="40000"/>
                <a:lumOff val="60000"/>
              </a:schemeClr>
            </a:solidFill>
            <a:ln>
              <a:noFill/>
            </a:ln>
            <a:effectLst/>
          </c:spPr>
          <c:invertIfNegative val="0"/>
          <c:cat>
            <c:numRef>
              <c:f>('4 - Echéances intermédiaires'!$D$5,'4 - Echéances intermédiaires'!$J$5,'4 - Echéances intermédiaires'!$M$5,'4 - Echéances intermédiaires'!$P$5,'4 - Echéances intermédiaires'!$AL$5)</c:f>
              <c:numCache>
                <c:formatCode>General</c:formatCode>
                <c:ptCount val="5"/>
                <c:pt idx="0">
                  <c:v>2018</c:v>
                </c:pt>
                <c:pt idx="1">
                  <c:v>2024</c:v>
                </c:pt>
                <c:pt idx="2">
                  <c:v>2027</c:v>
                </c:pt>
                <c:pt idx="3">
                  <c:v>2030</c:v>
                </c:pt>
                <c:pt idx="4">
                  <c:v>2050</c:v>
                </c:pt>
              </c:numCache>
            </c:numRef>
          </c:cat>
          <c:val>
            <c:numRef>
              <c:f>('4 - Echéances intermédiaires'!$D$54,'4 - Echéances intermédiaires'!$J$54,'4 - Echéances intermédiaires'!$M$54,'4 - Echéances intermédiaires'!$P$54,'4 - Echéances intermédiaires'!$AL$54)</c:f>
              <c:numCache>
                <c:formatCode>_-* #\ ##0_-;\-* #\ ##0_-;_-* "-"??_-;_-@_-</c:formatCode>
                <c:ptCount val="5"/>
                <c:pt idx="0">
                  <c:v>653.54489310281065</c:v>
                </c:pt>
                <c:pt idx="1">
                  <c:v>608.82379012943011</c:v>
                </c:pt>
                <c:pt idx="2">
                  <c:v>593.00483088096848</c:v>
                </c:pt>
                <c:pt idx="3">
                  <c:v>577.18587163250697</c:v>
                </c:pt>
                <c:pt idx="4">
                  <c:v>435.05969648934314</c:v>
                </c:pt>
              </c:numCache>
            </c:numRef>
          </c:val>
          <c:extLst>
            <c:ext xmlns:c16="http://schemas.microsoft.com/office/drawing/2014/chart" uri="{C3380CC4-5D6E-409C-BE32-E72D297353CC}">
              <c16:uniqueId val="{00000000-D321-44EE-9D4A-1871D9C30E6A}"/>
            </c:ext>
          </c:extLst>
        </c:ser>
        <c:ser>
          <c:idx val="1"/>
          <c:order val="1"/>
          <c:tx>
            <c:strRef>
              <c:f>'4 - Echéances intermédiaires'!$C$63:$AN$63</c:f>
              <c:strCache>
                <c:ptCount val="38"/>
                <c:pt idx="0">
                  <c:v>Tertiaire</c:v>
                </c:pt>
              </c:strCache>
            </c:strRef>
          </c:tx>
          <c:spPr>
            <a:solidFill>
              <a:schemeClr val="accent1">
                <a:lumMod val="75000"/>
              </a:schemeClr>
            </a:solidFill>
            <a:ln>
              <a:noFill/>
            </a:ln>
            <a:effectLst/>
          </c:spPr>
          <c:invertIfNegative val="0"/>
          <c:cat>
            <c:numRef>
              <c:f>('4 - Echéances intermédiaires'!$D$5,'4 - Echéances intermédiaires'!$J$5,'4 - Echéances intermédiaires'!$M$5,'4 - Echéances intermédiaires'!$P$5,'4 - Echéances intermédiaires'!$AL$5)</c:f>
              <c:numCache>
                <c:formatCode>General</c:formatCode>
                <c:ptCount val="5"/>
                <c:pt idx="0">
                  <c:v>2018</c:v>
                </c:pt>
                <c:pt idx="1">
                  <c:v>2024</c:v>
                </c:pt>
                <c:pt idx="2">
                  <c:v>2027</c:v>
                </c:pt>
                <c:pt idx="3">
                  <c:v>2030</c:v>
                </c:pt>
                <c:pt idx="4">
                  <c:v>2050</c:v>
                </c:pt>
              </c:numCache>
            </c:numRef>
          </c:cat>
          <c:val>
            <c:numRef>
              <c:f>('4 - Echéances intermédiaires'!$D$67,'4 - Echéances intermédiaires'!$J$67,'4 - Echéances intermédiaires'!$M$67,'4 - Echéances intermédiaires'!$P$67,'4 - Echéances intermédiaires'!$AL$67)</c:f>
              <c:numCache>
                <c:formatCode>_-* #\ ##0\ _€_-;\-* #\ ##0\ _€_-;_-* "-"??\ _€_-;_-@_-</c:formatCode>
                <c:ptCount val="5"/>
                <c:pt idx="0" formatCode="_-* #\ ##0_-;\-* #\ ##0_-;_-* &quot;-&quot;??_-;_-@_-">
                  <c:v>423.4438422143528</c:v>
                </c:pt>
                <c:pt idx="1">
                  <c:v>395.43369058309105</c:v>
                </c:pt>
                <c:pt idx="2">
                  <c:v>351.94696830757465</c:v>
                </c:pt>
                <c:pt idx="3">
                  <c:v>308.46024603205831</c:v>
                </c:pt>
                <c:pt idx="4" formatCode="_-* #\ ##0_-;\-* #\ ##0_-;_-* &quot;-&quot;??_-;_-@_-">
                  <c:v>174.60777595821111</c:v>
                </c:pt>
              </c:numCache>
            </c:numRef>
          </c:val>
          <c:extLst>
            <c:ext xmlns:c16="http://schemas.microsoft.com/office/drawing/2014/chart" uri="{C3380CC4-5D6E-409C-BE32-E72D297353CC}">
              <c16:uniqueId val="{00000001-D321-44EE-9D4A-1871D9C30E6A}"/>
            </c:ext>
          </c:extLst>
        </c:ser>
        <c:ser>
          <c:idx val="2"/>
          <c:order val="2"/>
          <c:tx>
            <c:strRef>
              <c:f>'4 - Echéances intermédiaires'!$C$76:$AN$76</c:f>
              <c:strCache>
                <c:ptCount val="38"/>
                <c:pt idx="0">
                  <c:v>Transport routier</c:v>
                </c:pt>
              </c:strCache>
            </c:strRef>
          </c:tx>
          <c:spPr>
            <a:solidFill>
              <a:schemeClr val="accent2">
                <a:lumMod val="40000"/>
                <a:lumOff val="60000"/>
              </a:schemeClr>
            </a:solidFill>
            <a:ln>
              <a:noFill/>
            </a:ln>
            <a:effectLst/>
          </c:spPr>
          <c:invertIfNegative val="0"/>
          <c:cat>
            <c:numRef>
              <c:f>('4 - Echéances intermédiaires'!$D$5,'4 - Echéances intermédiaires'!$J$5,'4 - Echéances intermédiaires'!$M$5,'4 - Echéances intermédiaires'!$P$5,'4 - Echéances intermédiaires'!$AL$5)</c:f>
              <c:numCache>
                <c:formatCode>General</c:formatCode>
                <c:ptCount val="5"/>
                <c:pt idx="0">
                  <c:v>2018</c:v>
                </c:pt>
                <c:pt idx="1">
                  <c:v>2024</c:v>
                </c:pt>
                <c:pt idx="2">
                  <c:v>2027</c:v>
                </c:pt>
                <c:pt idx="3">
                  <c:v>2030</c:v>
                </c:pt>
                <c:pt idx="4">
                  <c:v>2050</c:v>
                </c:pt>
              </c:numCache>
            </c:numRef>
          </c:cat>
          <c:val>
            <c:numRef>
              <c:f>('4 - Echéances intermédiaires'!$D$80,'4 - Echéances intermédiaires'!$J$80,'4 - Echéances intermédiaires'!$M$80,'4 - Echéances intermédiaires'!$P$80,'4 - Echéances intermédiaires'!$AL$80)</c:f>
              <c:numCache>
                <c:formatCode>_-* #\ ##0_-;\-* #\ ##0_-;_-* "-"??_-;_-@_-</c:formatCode>
                <c:ptCount val="5"/>
                <c:pt idx="0">
                  <c:v>1679.841791118926</c:v>
                </c:pt>
                <c:pt idx="1">
                  <c:v>1621.4734016064092</c:v>
                </c:pt>
                <c:pt idx="2">
                  <c:v>1362.380960497032</c:v>
                </c:pt>
                <c:pt idx="3">
                  <c:v>1103.2885193876546</c:v>
                </c:pt>
                <c:pt idx="4">
                  <c:v>567.70112537672549</c:v>
                </c:pt>
              </c:numCache>
            </c:numRef>
          </c:val>
          <c:extLst>
            <c:ext xmlns:c16="http://schemas.microsoft.com/office/drawing/2014/chart" uri="{C3380CC4-5D6E-409C-BE32-E72D297353CC}">
              <c16:uniqueId val="{00000002-D321-44EE-9D4A-1871D9C30E6A}"/>
            </c:ext>
          </c:extLst>
        </c:ser>
        <c:ser>
          <c:idx val="3"/>
          <c:order val="3"/>
          <c:tx>
            <c:strRef>
              <c:f>'4 - Echéances intermédiaires'!$C$89:$AN$89</c:f>
              <c:strCache>
                <c:ptCount val="38"/>
                <c:pt idx="0">
                  <c:v>Transport non routier</c:v>
                </c:pt>
              </c:strCache>
            </c:strRef>
          </c:tx>
          <c:spPr>
            <a:solidFill>
              <a:schemeClr val="accent2">
                <a:lumMod val="60000"/>
                <a:lumOff val="40000"/>
              </a:schemeClr>
            </a:solidFill>
            <a:ln>
              <a:noFill/>
            </a:ln>
            <a:effectLst/>
          </c:spPr>
          <c:invertIfNegative val="0"/>
          <c:cat>
            <c:numRef>
              <c:f>('4 - Echéances intermédiaires'!$D$5,'4 - Echéances intermédiaires'!$J$5,'4 - Echéances intermédiaires'!$M$5,'4 - Echéances intermédiaires'!$P$5,'4 - Echéances intermédiaires'!$AL$5)</c:f>
              <c:numCache>
                <c:formatCode>General</c:formatCode>
                <c:ptCount val="5"/>
                <c:pt idx="0">
                  <c:v>2018</c:v>
                </c:pt>
                <c:pt idx="1">
                  <c:v>2024</c:v>
                </c:pt>
                <c:pt idx="2">
                  <c:v>2027</c:v>
                </c:pt>
                <c:pt idx="3">
                  <c:v>2030</c:v>
                </c:pt>
                <c:pt idx="4">
                  <c:v>2050</c:v>
                </c:pt>
              </c:numCache>
            </c:numRef>
          </c:cat>
          <c:val>
            <c:numRef>
              <c:f>('4 - Echéances intermédiaires'!$D$93,'4 - Echéances intermédiaires'!$J$93,'4 - Echéances intermédiaires'!$M$93,'4 - Echéances intermédiaires'!$P$93,'4 - Echéances intermédiaires'!$AL$93)</c:f>
              <c:numCache>
                <c:formatCode>_-* #\ ##0_-;\-* #\ ##0_-;_-* "-"??_-;_-@_-</c:formatCode>
                <c:ptCount val="5"/>
                <c:pt idx="0">
                  <c:v>13.16158445514189</c:v>
                </c:pt>
                <c:pt idx="1">
                  <c:v>11.649325895754147</c:v>
                </c:pt>
                <c:pt idx="2">
                  <c:v>11.649325895754147</c:v>
                </c:pt>
                <c:pt idx="3">
                  <c:v>11.649325895754147</c:v>
                </c:pt>
                <c:pt idx="4">
                  <c:v>11.649325895754147</c:v>
                </c:pt>
              </c:numCache>
            </c:numRef>
          </c:val>
          <c:extLst>
            <c:ext xmlns:c16="http://schemas.microsoft.com/office/drawing/2014/chart" uri="{C3380CC4-5D6E-409C-BE32-E72D297353CC}">
              <c16:uniqueId val="{00000003-D321-44EE-9D4A-1871D9C30E6A}"/>
            </c:ext>
          </c:extLst>
        </c:ser>
        <c:ser>
          <c:idx val="4"/>
          <c:order val="4"/>
          <c:tx>
            <c:strRef>
              <c:f>'4 - Echéances intermédiaires'!$C$115:$AN$115</c:f>
              <c:strCache>
                <c:ptCount val="38"/>
                <c:pt idx="0">
                  <c:v>Industrie (hors branche énergie)</c:v>
                </c:pt>
              </c:strCache>
            </c:strRef>
          </c:tx>
          <c:spPr>
            <a:solidFill>
              <a:srgbClr val="990000"/>
            </a:solidFill>
            <a:ln>
              <a:noFill/>
            </a:ln>
            <a:effectLst/>
          </c:spPr>
          <c:invertIfNegative val="0"/>
          <c:cat>
            <c:numRef>
              <c:f>('4 - Echéances intermédiaires'!$D$5,'4 - Echéances intermédiaires'!$J$5,'4 - Echéances intermédiaires'!$M$5,'4 - Echéances intermédiaires'!$P$5,'4 - Echéances intermédiaires'!$AL$5)</c:f>
              <c:numCache>
                <c:formatCode>General</c:formatCode>
                <c:ptCount val="5"/>
                <c:pt idx="0">
                  <c:v>2018</c:v>
                </c:pt>
                <c:pt idx="1">
                  <c:v>2024</c:v>
                </c:pt>
                <c:pt idx="2">
                  <c:v>2027</c:v>
                </c:pt>
                <c:pt idx="3">
                  <c:v>2030</c:v>
                </c:pt>
                <c:pt idx="4">
                  <c:v>2050</c:v>
                </c:pt>
              </c:numCache>
            </c:numRef>
          </c:cat>
          <c:val>
            <c:numRef>
              <c:f>('4 - Echéances intermédiaires'!$D$119,'4 - Echéances intermédiaires'!$J$119,'4 - Echéances intermédiaires'!$M$119,'4 - Echéances intermédiaires'!$P$119,'4 - Echéances intermédiaires'!$AL$119)</c:f>
              <c:numCache>
                <c:formatCode>_-* #\ ##0_-;\-* #\ ##0_-;_-* "-"??_-;_-@_-</c:formatCode>
                <c:ptCount val="5"/>
                <c:pt idx="0">
                  <c:v>448.24366076258428</c:v>
                </c:pt>
                <c:pt idx="1">
                  <c:v>430.78105417862366</c:v>
                </c:pt>
                <c:pt idx="2">
                  <c:v>396.36890512220526</c:v>
                </c:pt>
                <c:pt idx="3">
                  <c:v>361.95675606578692</c:v>
                </c:pt>
                <c:pt idx="4">
                  <c:v>320.16953167506574</c:v>
                </c:pt>
              </c:numCache>
            </c:numRef>
          </c:val>
          <c:extLst>
            <c:ext xmlns:c16="http://schemas.microsoft.com/office/drawing/2014/chart" uri="{C3380CC4-5D6E-409C-BE32-E72D297353CC}">
              <c16:uniqueId val="{00000004-D321-44EE-9D4A-1871D9C30E6A}"/>
            </c:ext>
          </c:extLst>
        </c:ser>
        <c:ser>
          <c:idx val="5"/>
          <c:order val="5"/>
          <c:tx>
            <c:strRef>
              <c:f>'4 - Echéances intermédiaires'!$C$141:$AN$141</c:f>
              <c:strCache>
                <c:ptCount val="38"/>
                <c:pt idx="0">
                  <c:v>Agriculture</c:v>
                </c:pt>
              </c:strCache>
            </c:strRef>
          </c:tx>
          <c:spPr>
            <a:solidFill>
              <a:schemeClr val="accent6">
                <a:lumMod val="50000"/>
              </a:schemeClr>
            </a:solidFill>
            <a:ln>
              <a:noFill/>
            </a:ln>
            <a:effectLst/>
          </c:spPr>
          <c:invertIfNegative val="0"/>
          <c:cat>
            <c:numRef>
              <c:f>('4 - Echéances intermédiaires'!$D$5,'4 - Echéances intermédiaires'!$J$5,'4 - Echéances intermédiaires'!$M$5,'4 - Echéances intermédiaires'!$P$5,'4 - Echéances intermédiaires'!$AL$5)</c:f>
              <c:numCache>
                <c:formatCode>General</c:formatCode>
                <c:ptCount val="5"/>
                <c:pt idx="0">
                  <c:v>2018</c:v>
                </c:pt>
                <c:pt idx="1">
                  <c:v>2024</c:v>
                </c:pt>
                <c:pt idx="2">
                  <c:v>2027</c:v>
                </c:pt>
                <c:pt idx="3">
                  <c:v>2030</c:v>
                </c:pt>
                <c:pt idx="4">
                  <c:v>2050</c:v>
                </c:pt>
              </c:numCache>
            </c:numRef>
          </c:cat>
          <c:val>
            <c:numRef>
              <c:f>('4 - Echéances intermédiaires'!$D$145,'4 - Echéances intermédiaires'!$J$145,'4 - Echéances intermédiaires'!$M$145,'4 - Echéances intermédiaires'!$P$145,'4 - Echéances intermédiaires'!$AL$145)</c:f>
              <c:numCache>
                <c:formatCode>_-* #\ ##0_-;\-* #\ ##0_-;_-* "-"??_-;_-@_-</c:formatCode>
                <c:ptCount val="5"/>
                <c:pt idx="0">
                  <c:v>94.033514624975624</c:v>
                </c:pt>
                <c:pt idx="1">
                  <c:v>95.399676144980774</c:v>
                </c:pt>
                <c:pt idx="2">
                  <c:v>93.656900603918956</c:v>
                </c:pt>
                <c:pt idx="3">
                  <c:v>91.914125062857124</c:v>
                </c:pt>
                <c:pt idx="4">
                  <c:v>88.431103903665687</c:v>
                </c:pt>
              </c:numCache>
            </c:numRef>
          </c:val>
          <c:extLst>
            <c:ext xmlns:c16="http://schemas.microsoft.com/office/drawing/2014/chart" uri="{C3380CC4-5D6E-409C-BE32-E72D297353CC}">
              <c16:uniqueId val="{00000005-D321-44EE-9D4A-1871D9C30E6A}"/>
            </c:ext>
          </c:extLst>
        </c:ser>
        <c:dLbls>
          <c:showLegendKey val="0"/>
          <c:showVal val="0"/>
          <c:showCatName val="0"/>
          <c:showSerName val="0"/>
          <c:showPercent val="0"/>
          <c:showBubbleSize val="0"/>
        </c:dLbls>
        <c:gapWidth val="55"/>
        <c:overlap val="100"/>
        <c:axId val="720844895"/>
        <c:axId val="715908607"/>
      </c:barChart>
      <c:catAx>
        <c:axId val="720844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15908607"/>
        <c:crosses val="autoZero"/>
        <c:auto val="1"/>
        <c:lblAlgn val="ctr"/>
        <c:lblOffset val="100"/>
        <c:noMultiLvlLbl val="0"/>
      </c:catAx>
      <c:valAx>
        <c:axId val="7159086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Consommation</a:t>
                </a:r>
                <a:r>
                  <a:rPr lang="fr-FR" baseline="0"/>
                  <a:t>s énergétiques (GWh)</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2084489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fr-F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'4 - Echéances intermédiaires'!$C$50:$AN$50</c:f>
              <c:strCache>
                <c:ptCount val="38"/>
                <c:pt idx="0">
                  <c:v>Résidentiel</c:v>
                </c:pt>
              </c:strCache>
            </c:strRef>
          </c:tx>
          <c:spPr>
            <a:solidFill>
              <a:schemeClr val="accent1">
                <a:lumMod val="40000"/>
                <a:lumOff val="60000"/>
              </a:schemeClr>
            </a:solidFill>
            <a:ln>
              <a:noFill/>
            </a:ln>
            <a:effectLst/>
          </c:spPr>
          <c:invertIfNegative val="0"/>
          <c:cat>
            <c:numRef>
              <c:f>('4 - Echéances intermédiaires'!$D$5,'4 - Echéances intermédiaires'!$J$5,'4 - Echéances intermédiaires'!$M$5,'4 - Echéances intermédiaires'!$P$5,'4 - Echéances intermédiaires'!$AL$5)</c:f>
              <c:numCache>
                <c:formatCode>General</c:formatCode>
                <c:ptCount val="5"/>
                <c:pt idx="0">
                  <c:v>2018</c:v>
                </c:pt>
                <c:pt idx="1">
                  <c:v>2024</c:v>
                </c:pt>
                <c:pt idx="2">
                  <c:v>2027</c:v>
                </c:pt>
                <c:pt idx="3">
                  <c:v>2030</c:v>
                </c:pt>
                <c:pt idx="4">
                  <c:v>2050</c:v>
                </c:pt>
              </c:numCache>
            </c:numRef>
          </c:cat>
          <c:val>
            <c:numRef>
              <c:f>('4 - Echéances intermédiaires'!$D$56,'4 - Echéances intermédiaires'!$J$56,'4 - Echéances intermédiaires'!$M$56,'4 - Echéances intermédiaires'!$P$56,'4 - Echéances intermédiaires'!$AL$56)</c:f>
              <c:numCache>
                <c:formatCode>_-* #\ ##0_-;\-* #\ ##0_-;_-* "-"??_-;_-@_-</c:formatCode>
                <c:ptCount val="5"/>
                <c:pt idx="0">
                  <c:v>101190.516829926</c:v>
                </c:pt>
                <c:pt idx="1">
                  <c:v>83075.40200504956</c:v>
                </c:pt>
                <c:pt idx="2">
                  <c:v>74532.227677061965</c:v>
                </c:pt>
                <c:pt idx="3">
                  <c:v>65989.053349074369</c:v>
                </c:pt>
                <c:pt idx="4" formatCode="_(* #,##0.00_);_(* \(#,##0.00\);_(* &quot;-&quot;??_);_(@_)">
                  <c:v>25547.096623900557</c:v>
                </c:pt>
              </c:numCache>
            </c:numRef>
          </c:val>
          <c:extLst>
            <c:ext xmlns:c16="http://schemas.microsoft.com/office/drawing/2014/chart" uri="{C3380CC4-5D6E-409C-BE32-E72D297353CC}">
              <c16:uniqueId val="{00000000-0D6C-434E-B65D-605EE84A2D30}"/>
            </c:ext>
          </c:extLst>
        </c:ser>
        <c:ser>
          <c:idx val="1"/>
          <c:order val="1"/>
          <c:tx>
            <c:strRef>
              <c:f>'4 - Echéances intermédiaires'!$C$63:$AN$63</c:f>
              <c:strCache>
                <c:ptCount val="38"/>
                <c:pt idx="0">
                  <c:v>Tertiaire</c:v>
                </c:pt>
              </c:strCache>
            </c:strRef>
          </c:tx>
          <c:spPr>
            <a:solidFill>
              <a:schemeClr val="accent1">
                <a:lumMod val="75000"/>
              </a:schemeClr>
            </a:solidFill>
            <a:ln>
              <a:noFill/>
            </a:ln>
            <a:effectLst/>
          </c:spPr>
          <c:invertIfNegative val="0"/>
          <c:cat>
            <c:numRef>
              <c:f>('4 - Echéances intermédiaires'!$D$5,'4 - Echéances intermédiaires'!$J$5,'4 - Echéances intermédiaires'!$M$5,'4 - Echéances intermédiaires'!$P$5,'4 - Echéances intermédiaires'!$AL$5)</c:f>
              <c:numCache>
                <c:formatCode>General</c:formatCode>
                <c:ptCount val="5"/>
                <c:pt idx="0">
                  <c:v>2018</c:v>
                </c:pt>
                <c:pt idx="1">
                  <c:v>2024</c:v>
                </c:pt>
                <c:pt idx="2">
                  <c:v>2027</c:v>
                </c:pt>
                <c:pt idx="3">
                  <c:v>2030</c:v>
                </c:pt>
                <c:pt idx="4">
                  <c:v>2050</c:v>
                </c:pt>
              </c:numCache>
            </c:numRef>
          </c:cat>
          <c:val>
            <c:numRef>
              <c:f>('4 - Echéances intermédiaires'!$D$69,'4 - Echéances intermédiaires'!$J$69,'4 - Echéances intermédiaires'!$M$69,'4 - Echéances intermédiaires'!$P$69,'4 - Echéances intermédiaires'!$AL$69)</c:f>
              <c:numCache>
                <c:formatCode>_-* #\ ##0_-;\-* #\ ##0_-;_-* "-"??_-;_-@_-</c:formatCode>
                <c:ptCount val="5"/>
                <c:pt idx="0">
                  <c:v>72216.650883535665</c:v>
                </c:pt>
                <c:pt idx="1">
                  <c:v>59863.188595842221</c:v>
                </c:pt>
                <c:pt idx="2">
                  <c:v>50918.171048155091</c:v>
                </c:pt>
                <c:pt idx="3">
                  <c:v>41973.153500467968</c:v>
                </c:pt>
                <c:pt idx="4">
                  <c:v>11904.251162154269</c:v>
                </c:pt>
              </c:numCache>
            </c:numRef>
          </c:val>
          <c:extLst>
            <c:ext xmlns:c16="http://schemas.microsoft.com/office/drawing/2014/chart" uri="{C3380CC4-5D6E-409C-BE32-E72D297353CC}">
              <c16:uniqueId val="{00000001-0D6C-434E-B65D-605EE84A2D30}"/>
            </c:ext>
          </c:extLst>
        </c:ser>
        <c:ser>
          <c:idx val="2"/>
          <c:order val="2"/>
          <c:tx>
            <c:strRef>
              <c:f>'4 - Echéances intermédiaires'!$C$76:$AN$76</c:f>
              <c:strCache>
                <c:ptCount val="38"/>
                <c:pt idx="0">
                  <c:v>Transport routier</c:v>
                </c:pt>
              </c:strCache>
            </c:strRef>
          </c:tx>
          <c:spPr>
            <a:solidFill>
              <a:schemeClr val="accent2">
                <a:lumMod val="40000"/>
                <a:lumOff val="60000"/>
              </a:schemeClr>
            </a:solidFill>
            <a:ln>
              <a:noFill/>
            </a:ln>
            <a:effectLst/>
          </c:spPr>
          <c:invertIfNegative val="0"/>
          <c:cat>
            <c:numRef>
              <c:f>('4 - Echéances intermédiaires'!$D$5,'4 - Echéances intermédiaires'!$J$5,'4 - Echéances intermédiaires'!$M$5,'4 - Echéances intermédiaires'!$P$5,'4 - Echéances intermédiaires'!$AL$5)</c:f>
              <c:numCache>
                <c:formatCode>General</c:formatCode>
                <c:ptCount val="5"/>
                <c:pt idx="0">
                  <c:v>2018</c:v>
                </c:pt>
                <c:pt idx="1">
                  <c:v>2024</c:v>
                </c:pt>
                <c:pt idx="2">
                  <c:v>2027</c:v>
                </c:pt>
                <c:pt idx="3">
                  <c:v>2030</c:v>
                </c:pt>
                <c:pt idx="4">
                  <c:v>2050</c:v>
                </c:pt>
              </c:numCache>
            </c:numRef>
          </c:cat>
          <c:val>
            <c:numRef>
              <c:f>('4 - Echéances intermédiaires'!$D$82,'4 - Echéances intermédiaires'!$J$82,'4 - Echéances intermédiaires'!$M$82,'4 - Echéances intermédiaires'!$P$82,'4 - Echéances intermédiaires'!$AL$82)</c:f>
              <c:numCache>
                <c:formatCode>_-* #\ ##0_-;\-* #\ ##0_-;_-* "-"??_-;_-@_-</c:formatCode>
                <c:ptCount val="5"/>
                <c:pt idx="0">
                  <c:v>507798.28027984145</c:v>
                </c:pt>
                <c:pt idx="1">
                  <c:v>475317.73013294622</c:v>
                </c:pt>
                <c:pt idx="2">
                  <c:v>369016.58312914742</c:v>
                </c:pt>
                <c:pt idx="3">
                  <c:v>262715.43612534861</c:v>
                </c:pt>
                <c:pt idx="4">
                  <c:v>85180.998082729377</c:v>
                </c:pt>
              </c:numCache>
            </c:numRef>
          </c:val>
          <c:extLst>
            <c:ext xmlns:c16="http://schemas.microsoft.com/office/drawing/2014/chart" uri="{C3380CC4-5D6E-409C-BE32-E72D297353CC}">
              <c16:uniqueId val="{00000002-0D6C-434E-B65D-605EE84A2D30}"/>
            </c:ext>
          </c:extLst>
        </c:ser>
        <c:ser>
          <c:idx val="3"/>
          <c:order val="3"/>
          <c:tx>
            <c:strRef>
              <c:f>'4 - Echéances intermédiaires'!$C$89:$AN$89</c:f>
              <c:strCache>
                <c:ptCount val="38"/>
                <c:pt idx="0">
                  <c:v>Transport non routier</c:v>
                </c:pt>
              </c:strCache>
            </c:strRef>
          </c:tx>
          <c:spPr>
            <a:solidFill>
              <a:schemeClr val="accent2">
                <a:lumMod val="60000"/>
                <a:lumOff val="40000"/>
              </a:schemeClr>
            </a:solidFill>
            <a:ln>
              <a:noFill/>
            </a:ln>
            <a:effectLst/>
          </c:spPr>
          <c:invertIfNegative val="0"/>
          <c:cat>
            <c:numRef>
              <c:f>('4 - Echéances intermédiaires'!$D$5,'4 - Echéances intermédiaires'!$J$5,'4 - Echéances intermédiaires'!$M$5,'4 - Echéances intermédiaires'!$P$5,'4 - Echéances intermédiaires'!$AL$5)</c:f>
              <c:numCache>
                <c:formatCode>General</c:formatCode>
                <c:ptCount val="5"/>
                <c:pt idx="0">
                  <c:v>2018</c:v>
                </c:pt>
                <c:pt idx="1">
                  <c:v>2024</c:v>
                </c:pt>
                <c:pt idx="2">
                  <c:v>2027</c:v>
                </c:pt>
                <c:pt idx="3">
                  <c:v>2030</c:v>
                </c:pt>
                <c:pt idx="4">
                  <c:v>2050</c:v>
                </c:pt>
              </c:numCache>
            </c:numRef>
          </c:cat>
          <c:val>
            <c:numRef>
              <c:f>('4 - Echéances intermédiaires'!$D$95,'4 - Echéances intermédiaires'!$J$95,'4 - Echéances intermédiaires'!$M$95,'4 - Echéances intermédiaires'!$P$95,'4 - Echéances intermédiaires'!$AL$95)</c:f>
              <c:numCache>
                <c:formatCode>_-* #\ ##0_-;\-* #\ ##0_-;_-* "-"??_-;_-@_-</c:formatCode>
                <c:ptCount val="5"/>
                <c:pt idx="0">
                  <c:v>4026.2772614813871</c:v>
                </c:pt>
                <c:pt idx="1">
                  <c:v>3245.0684736091303</c:v>
                </c:pt>
                <c:pt idx="2">
                  <c:v>3245.0684736091303</c:v>
                </c:pt>
                <c:pt idx="3">
                  <c:v>3245.0684736091303</c:v>
                </c:pt>
                <c:pt idx="4">
                  <c:v>3245.0684736091303</c:v>
                </c:pt>
              </c:numCache>
            </c:numRef>
          </c:val>
          <c:extLst>
            <c:ext xmlns:c16="http://schemas.microsoft.com/office/drawing/2014/chart" uri="{C3380CC4-5D6E-409C-BE32-E72D297353CC}">
              <c16:uniqueId val="{00000003-0D6C-434E-B65D-605EE84A2D30}"/>
            </c:ext>
          </c:extLst>
        </c:ser>
        <c:ser>
          <c:idx val="4"/>
          <c:order val="4"/>
          <c:tx>
            <c:strRef>
              <c:f>'4 - Echéances intermédiaires'!$C$115:$AN$115</c:f>
              <c:strCache>
                <c:ptCount val="38"/>
                <c:pt idx="0">
                  <c:v>Industrie (hors branche énergie)</c:v>
                </c:pt>
              </c:strCache>
            </c:strRef>
          </c:tx>
          <c:spPr>
            <a:solidFill>
              <a:srgbClr val="990000"/>
            </a:solidFill>
            <a:ln>
              <a:noFill/>
            </a:ln>
            <a:effectLst/>
          </c:spPr>
          <c:invertIfNegative val="0"/>
          <c:cat>
            <c:numRef>
              <c:f>('4 - Echéances intermédiaires'!$D$5,'4 - Echéances intermédiaires'!$J$5,'4 - Echéances intermédiaires'!$M$5,'4 - Echéances intermédiaires'!$P$5,'4 - Echéances intermédiaires'!$AL$5)</c:f>
              <c:numCache>
                <c:formatCode>General</c:formatCode>
                <c:ptCount val="5"/>
                <c:pt idx="0">
                  <c:v>2018</c:v>
                </c:pt>
                <c:pt idx="1">
                  <c:v>2024</c:v>
                </c:pt>
                <c:pt idx="2">
                  <c:v>2027</c:v>
                </c:pt>
                <c:pt idx="3">
                  <c:v>2030</c:v>
                </c:pt>
                <c:pt idx="4">
                  <c:v>2050</c:v>
                </c:pt>
              </c:numCache>
            </c:numRef>
          </c:cat>
          <c:val>
            <c:numRef>
              <c:f>('4 - Echéances intermédiaires'!$D$121,'4 - Echéances intermédiaires'!$J$121,'4 - Echéances intermédiaires'!$M$121,'4 - Echéances intermédiaires'!$P$121,'4 - Echéances intermédiaires'!$AL$121)</c:f>
              <c:numCache>
                <c:formatCode>_-* #\ ##0_-;\-* #\ ##0_-;_-* "-"??_-;_-@_-</c:formatCode>
                <c:ptCount val="5"/>
                <c:pt idx="0">
                  <c:v>73138.741770063556</c:v>
                </c:pt>
                <c:pt idx="1">
                  <c:v>75955.864221542652</c:v>
                </c:pt>
                <c:pt idx="2">
                  <c:v>50181.093360599327</c:v>
                </c:pt>
                <c:pt idx="3">
                  <c:v>24406.322499656006</c:v>
                </c:pt>
                <c:pt idx="4">
                  <c:v>16313.542929318442</c:v>
                </c:pt>
              </c:numCache>
            </c:numRef>
          </c:val>
          <c:extLst>
            <c:ext xmlns:c16="http://schemas.microsoft.com/office/drawing/2014/chart" uri="{C3380CC4-5D6E-409C-BE32-E72D297353CC}">
              <c16:uniqueId val="{00000004-0D6C-434E-B65D-605EE84A2D30}"/>
            </c:ext>
          </c:extLst>
        </c:ser>
        <c:ser>
          <c:idx val="5"/>
          <c:order val="5"/>
          <c:tx>
            <c:strRef>
              <c:f>'4 - Echéances intermédiaires'!$C$141:$AN$141</c:f>
              <c:strCache>
                <c:ptCount val="38"/>
                <c:pt idx="0">
                  <c:v>Agriculture</c:v>
                </c:pt>
              </c:strCache>
            </c:strRef>
          </c:tx>
          <c:spPr>
            <a:solidFill>
              <a:schemeClr val="accent6">
                <a:lumMod val="50000"/>
              </a:schemeClr>
            </a:solidFill>
            <a:ln>
              <a:noFill/>
            </a:ln>
            <a:effectLst/>
          </c:spPr>
          <c:invertIfNegative val="0"/>
          <c:cat>
            <c:numRef>
              <c:f>('4 - Echéances intermédiaires'!$D$5,'4 - Echéances intermédiaires'!$J$5,'4 - Echéances intermédiaires'!$M$5,'4 - Echéances intermédiaires'!$P$5,'4 - Echéances intermédiaires'!$AL$5)</c:f>
              <c:numCache>
                <c:formatCode>General</c:formatCode>
                <c:ptCount val="5"/>
                <c:pt idx="0">
                  <c:v>2018</c:v>
                </c:pt>
                <c:pt idx="1">
                  <c:v>2024</c:v>
                </c:pt>
                <c:pt idx="2">
                  <c:v>2027</c:v>
                </c:pt>
                <c:pt idx="3">
                  <c:v>2030</c:v>
                </c:pt>
                <c:pt idx="4">
                  <c:v>2050</c:v>
                </c:pt>
              </c:numCache>
            </c:numRef>
          </c:cat>
          <c:val>
            <c:numRef>
              <c:f>('4 - Echéances intermédiaires'!$D$147,'4 - Echéances intermédiaires'!$J$147,'4 - Echéances intermédiaires'!$M$147,'4 - Echéances intermédiaires'!$P$147,'4 - Echéances intermédiaires'!$AL$147)</c:f>
              <c:numCache>
                <c:formatCode>_-* #\ ##0_-;\-* #\ ##0_-;_-* "-"??_-;_-@_-</c:formatCode>
                <c:ptCount val="5"/>
                <c:pt idx="0">
                  <c:v>160220.91804012461</c:v>
                </c:pt>
                <c:pt idx="1">
                  <c:v>157502.08066982229</c:v>
                </c:pt>
                <c:pt idx="2">
                  <c:v>154062.79636800595</c:v>
                </c:pt>
                <c:pt idx="3">
                  <c:v>150623.51206618961</c:v>
                </c:pt>
                <c:pt idx="4">
                  <c:v>118763.83345135731</c:v>
                </c:pt>
              </c:numCache>
            </c:numRef>
          </c:val>
          <c:extLst>
            <c:ext xmlns:c16="http://schemas.microsoft.com/office/drawing/2014/chart" uri="{C3380CC4-5D6E-409C-BE32-E72D297353CC}">
              <c16:uniqueId val="{00000005-0D6C-434E-B65D-605EE84A2D30}"/>
            </c:ext>
          </c:extLst>
        </c:ser>
        <c:ser>
          <c:idx val="6"/>
          <c:order val="6"/>
          <c:tx>
            <c:strRef>
              <c:f>'4 - Echéances intermédiaires'!$C$128:$AN$128</c:f>
              <c:strCache>
                <c:ptCount val="38"/>
                <c:pt idx="0">
                  <c:v>Déchets</c:v>
                </c:pt>
              </c:strCache>
            </c:strRef>
          </c:tx>
          <c:spPr>
            <a:solidFill>
              <a:schemeClr val="tx1">
                <a:lumMod val="50000"/>
                <a:lumOff val="50000"/>
              </a:schemeClr>
            </a:solidFill>
            <a:ln>
              <a:noFill/>
            </a:ln>
            <a:effectLst/>
          </c:spPr>
          <c:invertIfNegative val="0"/>
          <c:cat>
            <c:numRef>
              <c:f>('4 - Echéances intermédiaires'!$D$5,'4 - Echéances intermédiaires'!$J$5,'4 - Echéances intermédiaires'!$M$5,'4 - Echéances intermédiaires'!$P$5,'4 - Echéances intermédiaires'!$AL$5)</c:f>
              <c:numCache>
                <c:formatCode>General</c:formatCode>
                <c:ptCount val="5"/>
                <c:pt idx="0">
                  <c:v>2018</c:v>
                </c:pt>
                <c:pt idx="1">
                  <c:v>2024</c:v>
                </c:pt>
                <c:pt idx="2">
                  <c:v>2027</c:v>
                </c:pt>
                <c:pt idx="3">
                  <c:v>2030</c:v>
                </c:pt>
                <c:pt idx="4">
                  <c:v>2050</c:v>
                </c:pt>
              </c:numCache>
            </c:numRef>
          </c:cat>
          <c:val>
            <c:numRef>
              <c:f>('4 - Echéances intermédiaires'!$D$134,'4 - Echéances intermédiaires'!$J$134,'4 - Echéances intermédiaires'!$M$134,'4 - Echéances intermédiaires'!$P$134,'4 - Echéances intermédiaires'!$AL$134)</c:f>
              <c:numCache>
                <c:formatCode>_-* #\ ##0_-;\-* #\ ##0_-;_-* "-"??_-;_-@_-</c:formatCode>
                <c:ptCount val="5"/>
                <c:pt idx="0">
                  <c:v>17683.461899999998</c:v>
                </c:pt>
                <c:pt idx="1">
                  <c:v>18574.213584212914</c:v>
                </c:pt>
                <c:pt idx="2">
                  <c:v>16772.002477405025</c:v>
                </c:pt>
                <c:pt idx="3">
                  <c:v>14969.791370597139</c:v>
                </c:pt>
                <c:pt idx="4">
                  <c:v>12150.243618685712</c:v>
                </c:pt>
              </c:numCache>
            </c:numRef>
          </c:val>
          <c:extLst>
            <c:ext xmlns:c16="http://schemas.microsoft.com/office/drawing/2014/chart" uri="{C3380CC4-5D6E-409C-BE32-E72D297353CC}">
              <c16:uniqueId val="{00000006-0D6C-434E-B65D-605EE84A2D30}"/>
            </c:ext>
          </c:extLst>
        </c:ser>
        <c:dLbls>
          <c:showLegendKey val="0"/>
          <c:showVal val="0"/>
          <c:showCatName val="0"/>
          <c:showSerName val="0"/>
          <c:showPercent val="0"/>
          <c:showBubbleSize val="0"/>
        </c:dLbls>
        <c:gapWidth val="55"/>
        <c:overlap val="100"/>
        <c:axId val="720844895"/>
        <c:axId val="715908607"/>
      </c:barChart>
      <c:catAx>
        <c:axId val="720844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15908607"/>
        <c:crosses val="autoZero"/>
        <c:auto val="1"/>
        <c:lblAlgn val="ctr"/>
        <c:lblOffset val="100"/>
        <c:noMultiLvlLbl val="0"/>
      </c:catAx>
      <c:valAx>
        <c:axId val="7159086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Emissions de GES (tO</a:t>
                </a:r>
                <a:r>
                  <a:rPr lang="fr-FR" baseline="-25000"/>
                  <a:t>2</a:t>
                </a:r>
                <a:r>
                  <a:rPr lang="fr-FR"/>
                  <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2084489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Reversed" id="26">
  <a:schemeClr val="accent6"/>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Altéréa-v2">
  <a:themeElements>
    <a:clrScheme name="Personnalisé 2">
      <a:dk1>
        <a:srgbClr val="605C5B"/>
      </a:dk1>
      <a:lt1>
        <a:srgbClr val="000000"/>
      </a:lt1>
      <a:dk2>
        <a:srgbClr val="D5D4D4"/>
      </a:dk2>
      <a:lt2>
        <a:srgbClr val="A29F9F"/>
      </a:lt2>
      <a:accent1>
        <a:srgbClr val="F3C345"/>
      </a:accent1>
      <a:accent2>
        <a:srgbClr val="F7D586"/>
      </a:accent2>
      <a:accent3>
        <a:srgbClr val="FFF0D5"/>
      </a:accent3>
      <a:accent4>
        <a:srgbClr val="549626"/>
      </a:accent4>
      <a:accent5>
        <a:srgbClr val="8FB264"/>
      </a:accent5>
      <a:accent6>
        <a:srgbClr val="D1DEBD"/>
      </a:accent6>
      <a:hlink>
        <a:srgbClr val="0000FF"/>
      </a:hlink>
      <a:folHlink>
        <a:srgbClr val="9999FF"/>
      </a:folHlink>
    </a:clrScheme>
    <a:fontScheme name="Office Classique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
</file>

<file path=customXml/itemProps1.xml><?xml version="1.0" encoding="utf-8"?>
<ds:datastoreItem xmlns:ds="http://schemas.openxmlformats.org/officeDocument/2006/customXml" ds:itemID="{0338B6ED-C628-4FD2-8681-3290A40D3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859</TotalTime>
  <Pages>51</Pages>
  <Words>22826</Words>
  <Characters>125547</Characters>
  <Application>Microsoft Office Word</Application>
  <DocSecurity>0</DocSecurity>
  <Lines>1046</Lines>
  <Paragraphs>296</Paragraphs>
  <ScaleCrop>false</ScaleCrop>
  <HeadingPairs>
    <vt:vector size="2" baseType="variant">
      <vt:variant>
        <vt:lpstr>Titre</vt:lpstr>
      </vt:variant>
      <vt:variant>
        <vt:i4>1</vt:i4>
      </vt:variant>
    </vt:vector>
  </HeadingPairs>
  <TitlesOfParts>
    <vt:vector size="1" baseType="lpstr">
      <vt:lpstr/>
    </vt:vector>
  </TitlesOfParts>
  <Company>qfgqjùp</Company>
  <LinksUpToDate>false</LinksUpToDate>
  <CharactersWithSpaces>148077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Arnaud BRULIER</dc:creator>
  <cp:keywords/>
  <dc:description/>
  <cp:lastModifiedBy>Lucille  LE GALL</cp:lastModifiedBy>
  <cp:revision>14</cp:revision>
  <cp:lastPrinted>2024-10-08T08:59:00Z</cp:lastPrinted>
  <dcterms:created xsi:type="dcterms:W3CDTF">2024-04-10T12:32:00Z</dcterms:created>
  <dcterms:modified xsi:type="dcterms:W3CDTF">2024-10-08T09:06:00Z</dcterms:modified>
</cp:coreProperties>
</file>